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BDD15" w14:textId="17AE5A19" w:rsidR="00BE5D27" w:rsidRPr="005922AE" w:rsidRDefault="00BE5D27" w:rsidP="00BE5D27">
      <w:pPr>
        <w:tabs>
          <w:tab w:val="center" w:pos="4536"/>
          <w:tab w:val="right" w:pos="7938"/>
          <w:tab w:val="right" w:pos="9639"/>
        </w:tabs>
        <w:spacing w:after="0"/>
        <w:rPr>
          <w:rFonts w:ascii="Times New Roman" w:hAnsi="Times New Roman" w:cs="Times New Roman"/>
          <w:b/>
          <w:bCs/>
          <w:sz w:val="28"/>
          <w:lang w:val="de-DE"/>
        </w:rPr>
      </w:pPr>
      <w:bookmarkStart w:id="0" w:name="_Ref462675860"/>
      <w:r w:rsidRPr="005922AE">
        <w:rPr>
          <w:rFonts w:ascii="Times New Roman" w:hAnsi="Times New Roman" w:cs="Times New Roman"/>
          <w:b/>
          <w:bCs/>
          <w:sz w:val="28"/>
          <w:lang w:val="de-DE"/>
        </w:rPr>
        <w:t>3</w:t>
      </w:r>
      <w:bookmarkStart w:id="1" w:name="_Ref86959314"/>
      <w:bookmarkEnd w:id="1"/>
      <w:r w:rsidRPr="005922AE">
        <w:rPr>
          <w:rFonts w:ascii="Times New Roman" w:hAnsi="Times New Roman" w:cs="Times New Roman"/>
          <w:b/>
          <w:bCs/>
          <w:sz w:val="28"/>
          <w:lang w:val="de-DE"/>
        </w:rPr>
        <w:t>GPP TSG RAN WG1 #1</w:t>
      </w:r>
      <w:r w:rsidR="0058047A" w:rsidRPr="005922AE">
        <w:rPr>
          <w:rFonts w:ascii="Times New Roman" w:hAnsi="Times New Roman" w:cs="Times New Roman"/>
          <w:b/>
          <w:bCs/>
          <w:sz w:val="28"/>
          <w:lang w:val="de-DE"/>
        </w:rPr>
        <w:t>10</w:t>
      </w:r>
      <w:r w:rsidR="00786638" w:rsidRPr="005922AE">
        <w:rPr>
          <w:rFonts w:ascii="Times New Roman" w:hAnsi="Times New Roman" w:cs="Times New Roman"/>
          <w:b/>
          <w:bCs/>
          <w:sz w:val="28"/>
          <w:lang w:val="de-DE"/>
        </w:rPr>
        <w:t>bis-e</w:t>
      </w:r>
      <w:r w:rsidRPr="005922AE">
        <w:rPr>
          <w:rFonts w:ascii="Times New Roman" w:hAnsi="Times New Roman" w:cs="Times New Roman"/>
          <w:b/>
          <w:bCs/>
          <w:sz w:val="28"/>
          <w:lang w:val="de-DE"/>
        </w:rPr>
        <w:tab/>
      </w:r>
      <w:r w:rsidRPr="005922AE">
        <w:rPr>
          <w:rFonts w:ascii="Times New Roman" w:hAnsi="Times New Roman" w:cs="Times New Roman"/>
          <w:b/>
          <w:bCs/>
          <w:sz w:val="28"/>
          <w:lang w:val="de-DE"/>
        </w:rPr>
        <w:tab/>
      </w:r>
      <w:r w:rsidRPr="005922AE">
        <w:rPr>
          <w:rFonts w:ascii="Times New Roman" w:hAnsi="Times New Roman" w:cs="Times New Roman"/>
          <w:b/>
          <w:bCs/>
          <w:sz w:val="28"/>
          <w:lang w:val="de-DE"/>
        </w:rPr>
        <w:tab/>
        <w:t xml:space="preserve">    </w:t>
      </w:r>
      <w:r w:rsidR="0031753A" w:rsidRPr="005922AE">
        <w:rPr>
          <w:rFonts w:ascii="Times New Roman" w:hAnsi="Times New Roman" w:cs="Times New Roman"/>
          <w:b/>
          <w:bCs/>
          <w:sz w:val="28"/>
          <w:lang w:val="de-DE"/>
        </w:rPr>
        <w:t xml:space="preserve"> </w:t>
      </w:r>
      <w:r w:rsidRPr="005922AE">
        <w:rPr>
          <w:rFonts w:ascii="Times New Roman" w:hAnsi="Times New Roman" w:cs="Times New Roman"/>
          <w:b/>
          <w:bCs/>
          <w:sz w:val="28"/>
          <w:lang w:val="de-DE"/>
        </w:rPr>
        <w:t>R1-</w:t>
      </w:r>
      <w:r w:rsidRPr="005922AE">
        <w:rPr>
          <w:rFonts w:ascii="Times New Roman" w:hAnsi="Times New Roman" w:cs="Times New Roman"/>
          <w:lang w:val="de-DE"/>
        </w:rPr>
        <w:t xml:space="preserve"> </w:t>
      </w:r>
      <w:r w:rsidR="00B92641" w:rsidRPr="005922AE">
        <w:rPr>
          <w:rFonts w:ascii="Times New Roman" w:hAnsi="Times New Roman" w:cs="Times New Roman"/>
          <w:b/>
          <w:bCs/>
          <w:sz w:val="28"/>
          <w:lang w:val="de-DE"/>
        </w:rPr>
        <w:t>220</w:t>
      </w:r>
      <w:r w:rsidR="00ED5848">
        <w:rPr>
          <w:rFonts w:ascii="Times New Roman" w:hAnsi="Times New Roman" w:cs="Times New Roman"/>
          <w:b/>
          <w:bCs/>
          <w:sz w:val="28"/>
          <w:lang w:val="de-DE"/>
        </w:rPr>
        <w:t>9948</w:t>
      </w:r>
    </w:p>
    <w:p w14:paraId="025D428D" w14:textId="6882D63E" w:rsidR="00BE5D27" w:rsidRPr="005922AE" w:rsidRDefault="006E2403" w:rsidP="00BE5D27">
      <w:pPr>
        <w:tabs>
          <w:tab w:val="center" w:pos="4536"/>
          <w:tab w:val="right" w:pos="9072"/>
        </w:tabs>
        <w:rPr>
          <w:rFonts w:ascii="Times New Roman" w:eastAsia="MS Mincho" w:hAnsi="Times New Roman" w:cs="Times New Roman"/>
          <w:b/>
          <w:bCs/>
          <w:sz w:val="28"/>
          <w:lang w:eastAsia="ja-JP"/>
        </w:rPr>
      </w:pPr>
      <w:r w:rsidRPr="005922AE">
        <w:rPr>
          <w:rFonts w:ascii="Times New Roman" w:eastAsia="MS Mincho" w:hAnsi="Times New Roman" w:cs="Times New Roman"/>
          <w:b/>
          <w:bCs/>
          <w:sz w:val="28"/>
          <w:lang w:eastAsia="ja-JP"/>
        </w:rPr>
        <w:t>e-meeting</w:t>
      </w:r>
      <w:r w:rsidR="0058047A" w:rsidRPr="005922AE">
        <w:rPr>
          <w:rFonts w:ascii="Times New Roman" w:eastAsia="MS Mincho" w:hAnsi="Times New Roman" w:cs="Times New Roman"/>
          <w:b/>
          <w:bCs/>
          <w:sz w:val="28"/>
          <w:lang w:eastAsia="ja-JP"/>
        </w:rPr>
        <w:t xml:space="preserve">, </w:t>
      </w:r>
      <w:r w:rsidR="00E73D88" w:rsidRPr="005922AE">
        <w:rPr>
          <w:rFonts w:ascii="Times New Roman" w:eastAsia="MS Mincho" w:hAnsi="Times New Roman" w:cs="Times New Roman"/>
          <w:b/>
          <w:bCs/>
          <w:sz w:val="28"/>
          <w:lang w:eastAsia="ja-JP"/>
        </w:rPr>
        <w:t>October 10</w:t>
      </w:r>
      <w:r w:rsidR="00E73D88" w:rsidRPr="005922AE">
        <w:rPr>
          <w:rFonts w:ascii="Times New Roman" w:eastAsia="MS Mincho" w:hAnsi="Times New Roman" w:cs="Times New Roman"/>
          <w:b/>
          <w:bCs/>
          <w:sz w:val="28"/>
          <w:vertAlign w:val="superscript"/>
          <w:lang w:eastAsia="ja-JP"/>
        </w:rPr>
        <w:t>th</w:t>
      </w:r>
      <w:r w:rsidR="00E73D88" w:rsidRPr="005922AE">
        <w:rPr>
          <w:rFonts w:ascii="Times New Roman" w:eastAsia="MS Mincho" w:hAnsi="Times New Roman" w:cs="Times New Roman"/>
          <w:b/>
          <w:bCs/>
          <w:sz w:val="28"/>
          <w:lang w:eastAsia="ja-JP"/>
        </w:rPr>
        <w:t>-19th</w:t>
      </w:r>
      <w:r w:rsidR="0058047A" w:rsidRPr="005922AE">
        <w:rPr>
          <w:rFonts w:ascii="Times New Roman" w:eastAsia="MS Mincho" w:hAnsi="Times New Roman" w:cs="Times New Roman"/>
          <w:b/>
          <w:bCs/>
          <w:sz w:val="28"/>
          <w:lang w:eastAsia="ja-JP"/>
        </w:rPr>
        <w:t>, 2022</w:t>
      </w:r>
    </w:p>
    <w:p w14:paraId="612BF82B" w14:textId="0A656183" w:rsidR="00FE2A81" w:rsidRPr="005922AE" w:rsidRDefault="00FE2A81" w:rsidP="00CE3180">
      <w:pPr>
        <w:tabs>
          <w:tab w:val="left" w:pos="1985"/>
        </w:tabs>
        <w:jc w:val="both"/>
        <w:rPr>
          <w:rFonts w:ascii="Times New Roman" w:hAnsi="Times New Roman" w:cs="Times New Roman"/>
          <w:sz w:val="24"/>
        </w:rPr>
      </w:pPr>
      <w:r w:rsidRPr="005922AE">
        <w:rPr>
          <w:rFonts w:ascii="Times New Roman" w:hAnsi="Times New Roman" w:cs="Times New Roman"/>
          <w:b/>
          <w:sz w:val="24"/>
        </w:rPr>
        <w:t>Agenda item:</w:t>
      </w:r>
      <w:r w:rsidRPr="005922AE">
        <w:rPr>
          <w:rFonts w:ascii="Times New Roman" w:hAnsi="Times New Roman" w:cs="Times New Roman"/>
          <w:sz w:val="24"/>
        </w:rPr>
        <w:tab/>
      </w:r>
      <w:bookmarkStart w:id="2" w:name="Source"/>
      <w:bookmarkEnd w:id="2"/>
      <w:r w:rsidR="00ED5848">
        <w:rPr>
          <w:rFonts w:ascii="Times New Roman" w:hAnsi="Times New Roman" w:cs="Times New Roman"/>
          <w:sz w:val="24"/>
        </w:rPr>
        <w:t>8.8</w:t>
      </w:r>
    </w:p>
    <w:p w14:paraId="6EDC7C2F" w14:textId="77777777" w:rsidR="00FE2A81" w:rsidRPr="005922AE" w:rsidRDefault="00FE2A81" w:rsidP="000A3CBA">
      <w:pPr>
        <w:tabs>
          <w:tab w:val="left" w:pos="1985"/>
        </w:tabs>
        <w:jc w:val="both"/>
        <w:rPr>
          <w:rFonts w:ascii="Times New Roman" w:hAnsi="Times New Roman" w:cs="Times New Roman"/>
          <w:sz w:val="24"/>
        </w:rPr>
      </w:pPr>
      <w:r w:rsidRPr="005922AE">
        <w:rPr>
          <w:rFonts w:ascii="Times New Roman" w:hAnsi="Times New Roman" w:cs="Times New Roman"/>
          <w:b/>
          <w:sz w:val="24"/>
        </w:rPr>
        <w:t xml:space="preserve">Source: </w:t>
      </w:r>
      <w:r w:rsidRPr="005922AE">
        <w:rPr>
          <w:rFonts w:ascii="Times New Roman" w:hAnsi="Times New Roman" w:cs="Times New Roman"/>
          <w:b/>
          <w:sz w:val="24"/>
        </w:rPr>
        <w:tab/>
      </w:r>
      <w:r w:rsidRPr="005922AE">
        <w:rPr>
          <w:rFonts w:ascii="Times New Roman" w:hAnsi="Times New Roman" w:cs="Times New Roman"/>
          <w:sz w:val="24"/>
        </w:rPr>
        <w:t>Qualcomm Incorporated</w:t>
      </w:r>
    </w:p>
    <w:p w14:paraId="1B950CDD" w14:textId="23BD8A02" w:rsidR="00FE2A81" w:rsidRPr="005922AE" w:rsidRDefault="00FE2A81" w:rsidP="000A3CBA">
      <w:pPr>
        <w:ind w:left="1988" w:hanging="198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2AE">
        <w:rPr>
          <w:rFonts w:ascii="Times New Roman" w:hAnsi="Times New Roman" w:cs="Times New Roman"/>
          <w:b/>
          <w:color w:val="000000" w:themeColor="text1"/>
          <w:sz w:val="24"/>
        </w:rPr>
        <w:t>Title:</w:t>
      </w:r>
      <w:r w:rsidRPr="005922A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5922AE">
        <w:rPr>
          <w:rFonts w:ascii="Times New Roman" w:hAnsi="Times New Roman" w:cs="Times New Roman"/>
          <w:color w:val="000000" w:themeColor="text1"/>
        </w:rPr>
        <w:tab/>
      </w:r>
      <w:r w:rsidR="00EA582B" w:rsidRPr="005922AE">
        <w:rPr>
          <w:rFonts w:ascii="Times New Roman" w:hAnsi="Times New Roman" w:cs="Times New Roman"/>
          <w:color w:val="000000" w:themeColor="text1"/>
        </w:rPr>
        <w:t>Discussion on r</w:t>
      </w:r>
      <w:r w:rsidR="0014618E" w:rsidRPr="005922AE">
        <w:rPr>
          <w:rFonts w:ascii="Times New Roman" w:hAnsi="Times New Roman" w:cs="Times New Roman"/>
          <w:color w:val="000000" w:themeColor="text1"/>
        </w:rPr>
        <w:t xml:space="preserve">emaining issues on </w:t>
      </w:r>
      <w:r w:rsidR="00527B6D" w:rsidRPr="005922AE">
        <w:rPr>
          <w:rFonts w:ascii="Times New Roman" w:hAnsi="Times New Roman" w:cs="Times New Roman"/>
          <w:color w:val="000000" w:themeColor="text1"/>
        </w:rPr>
        <w:t>NR Coverage Enhancement</w:t>
      </w:r>
    </w:p>
    <w:p w14:paraId="401B4271" w14:textId="77777777" w:rsidR="00FE2A81" w:rsidRPr="005922AE" w:rsidRDefault="00FE2A81" w:rsidP="000A3CBA">
      <w:pPr>
        <w:ind w:left="1988" w:hanging="1988"/>
        <w:jc w:val="both"/>
        <w:rPr>
          <w:rFonts w:ascii="Times New Roman" w:hAnsi="Times New Roman" w:cs="Times New Roman"/>
          <w:sz w:val="24"/>
        </w:rPr>
      </w:pPr>
      <w:r w:rsidRPr="005922AE">
        <w:rPr>
          <w:rFonts w:ascii="Times New Roman" w:hAnsi="Times New Roman" w:cs="Times New Roman"/>
          <w:b/>
          <w:sz w:val="24"/>
        </w:rPr>
        <w:t>Document for:</w:t>
      </w:r>
      <w:r w:rsidRPr="005922AE">
        <w:rPr>
          <w:rFonts w:ascii="Times New Roman" w:hAnsi="Times New Roman" w:cs="Times New Roman"/>
          <w:sz w:val="24"/>
        </w:rPr>
        <w:tab/>
      </w:r>
      <w:bookmarkStart w:id="3" w:name="DocumentFor"/>
      <w:bookmarkEnd w:id="3"/>
      <w:r w:rsidRPr="005922AE">
        <w:rPr>
          <w:rFonts w:ascii="Times New Roman" w:hAnsi="Times New Roman" w:cs="Times New Roman"/>
          <w:sz w:val="24"/>
        </w:rPr>
        <w:t>Discussion/Decision</w:t>
      </w:r>
    </w:p>
    <w:p w14:paraId="77BB5929" w14:textId="564187BD" w:rsidR="00CE6FFB" w:rsidRPr="005922AE" w:rsidRDefault="00FD6A3D" w:rsidP="00B20DB2">
      <w:pPr>
        <w:pStyle w:val="Heading1"/>
        <w:jc w:val="both"/>
        <w:rPr>
          <w:rFonts w:ascii="Times New Roman" w:hAnsi="Times New Roman"/>
        </w:rPr>
      </w:pPr>
      <w:bookmarkStart w:id="4" w:name="_Ref465963108"/>
      <w:r w:rsidRPr="005922AE">
        <w:rPr>
          <w:rFonts w:ascii="Times New Roman" w:hAnsi="Times New Roman"/>
        </w:rPr>
        <w:t>Introduction</w:t>
      </w:r>
      <w:bookmarkEnd w:id="0"/>
      <w:bookmarkEnd w:id="4"/>
    </w:p>
    <w:p w14:paraId="56AB3B12" w14:textId="0F993124" w:rsidR="00527B6D" w:rsidRPr="005922AE" w:rsidRDefault="00CF4429" w:rsidP="00CF4429">
      <w:pPr>
        <w:jc w:val="both"/>
        <w:rPr>
          <w:rFonts w:ascii="Times New Roman" w:hAnsi="Times New Roman" w:cs="Times New Roman"/>
          <w:sz w:val="20"/>
          <w:szCs w:val="20"/>
        </w:rPr>
      </w:pPr>
      <w:r w:rsidRPr="005922AE">
        <w:rPr>
          <w:rFonts w:ascii="Times New Roman" w:hAnsi="Times New Roman" w:cs="Times New Roman"/>
          <w:sz w:val="20"/>
          <w:szCs w:val="20"/>
        </w:rPr>
        <w:t xml:space="preserve">In </w:t>
      </w:r>
      <w:r w:rsidR="00527B6D" w:rsidRPr="005922AE">
        <w:rPr>
          <w:rFonts w:ascii="Times New Roman" w:hAnsi="Times New Roman" w:cs="Times New Roman"/>
          <w:sz w:val="20"/>
          <w:szCs w:val="20"/>
        </w:rPr>
        <w:t xml:space="preserve">this document we discuss some of the remaining issues on features related to NR Coverage Enhancement. In particular, the discussion is focused on the following </w:t>
      </w:r>
      <w:r w:rsidR="00D911C2" w:rsidRPr="005922AE">
        <w:rPr>
          <w:rFonts w:ascii="Times New Roman" w:hAnsi="Times New Roman" w:cs="Times New Roman"/>
          <w:sz w:val="20"/>
          <w:szCs w:val="20"/>
        </w:rPr>
        <w:t>four</w:t>
      </w:r>
      <w:r w:rsidR="00527B6D" w:rsidRPr="005922AE">
        <w:rPr>
          <w:rFonts w:ascii="Times New Roman" w:hAnsi="Times New Roman" w:cs="Times New Roman"/>
          <w:sz w:val="20"/>
          <w:szCs w:val="20"/>
        </w:rPr>
        <w:t xml:space="preserve"> aspects:</w:t>
      </w:r>
    </w:p>
    <w:p w14:paraId="48A06D93" w14:textId="7B7DC113" w:rsidR="00527B6D" w:rsidRPr="005922AE" w:rsidRDefault="008E53A7" w:rsidP="009165F4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22AE">
        <w:rPr>
          <w:rFonts w:ascii="Times New Roman" w:hAnsi="Times New Roman" w:cs="Times New Roman"/>
          <w:sz w:val="20"/>
          <w:szCs w:val="20"/>
        </w:rPr>
        <w:t>UE capability on restarting DMRS bundling</w:t>
      </w:r>
    </w:p>
    <w:p w14:paraId="2264F0A3" w14:textId="3D65C6B8" w:rsidR="009F39E2" w:rsidRPr="005922AE" w:rsidRDefault="009F39E2" w:rsidP="009165F4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922AE">
        <w:rPr>
          <w:rFonts w:ascii="Times New Roman" w:hAnsi="Times New Roman" w:cs="Times New Roman"/>
          <w:sz w:val="20"/>
          <w:szCs w:val="20"/>
        </w:rPr>
        <w:t xml:space="preserve">DMRS bundling for </w:t>
      </w:r>
      <w:r w:rsidR="009C6001" w:rsidRPr="005922AE">
        <w:rPr>
          <w:rFonts w:ascii="Times New Roman" w:hAnsi="Times New Roman" w:cs="Times New Roman"/>
          <w:sz w:val="20"/>
          <w:szCs w:val="20"/>
        </w:rPr>
        <w:t>uplink multi-carrier scenarios</w:t>
      </w:r>
    </w:p>
    <w:p w14:paraId="03D53007" w14:textId="2DD993B4" w:rsidR="0024104B" w:rsidRPr="005922AE" w:rsidRDefault="0024104B" w:rsidP="003C182B">
      <w:pPr>
        <w:pStyle w:val="Heading1"/>
        <w:rPr>
          <w:rFonts w:ascii="Times New Roman" w:hAnsi="Times New Roman"/>
        </w:rPr>
      </w:pPr>
      <w:bookmarkStart w:id="5" w:name="_Ref525738522"/>
      <w:bookmarkStart w:id="6" w:name="_Ref471731770"/>
      <w:bookmarkStart w:id="7" w:name="_Ref462669569"/>
      <w:r w:rsidRPr="005922AE">
        <w:rPr>
          <w:rFonts w:ascii="Times New Roman" w:hAnsi="Times New Roman"/>
        </w:rPr>
        <w:t xml:space="preserve">UE </w:t>
      </w:r>
      <w:r w:rsidR="00A93D66" w:rsidRPr="005922AE">
        <w:rPr>
          <w:rFonts w:ascii="Times New Roman" w:hAnsi="Times New Roman"/>
        </w:rPr>
        <w:t>C</w:t>
      </w:r>
      <w:r w:rsidRPr="005922AE">
        <w:rPr>
          <w:rFonts w:ascii="Times New Roman" w:hAnsi="Times New Roman"/>
        </w:rPr>
        <w:t xml:space="preserve">apability on </w:t>
      </w:r>
      <w:r w:rsidR="00A93D66" w:rsidRPr="005922AE">
        <w:rPr>
          <w:rFonts w:ascii="Times New Roman" w:hAnsi="Times New Roman"/>
        </w:rPr>
        <w:t>R</w:t>
      </w:r>
      <w:r w:rsidRPr="005922AE">
        <w:rPr>
          <w:rFonts w:ascii="Times New Roman" w:hAnsi="Times New Roman"/>
        </w:rPr>
        <w:t xml:space="preserve">estarting DMRS </w:t>
      </w:r>
      <w:r w:rsidR="00A93D66" w:rsidRPr="005922AE">
        <w:rPr>
          <w:rFonts w:ascii="Times New Roman" w:hAnsi="Times New Roman"/>
        </w:rPr>
        <w:t>B</w:t>
      </w:r>
      <w:r w:rsidRPr="005922AE">
        <w:rPr>
          <w:rFonts w:ascii="Times New Roman" w:hAnsi="Times New Roman"/>
        </w:rPr>
        <w:t>undling</w:t>
      </w:r>
    </w:p>
    <w:p w14:paraId="0504C6CC" w14:textId="6BE86AA7" w:rsidR="0024104B" w:rsidRPr="005922AE" w:rsidRDefault="00E21603" w:rsidP="00691EE5">
      <w:pPr>
        <w:jc w:val="both"/>
        <w:rPr>
          <w:rFonts w:ascii="Times New Roman" w:hAnsi="Times New Roman" w:cs="Times New Roman"/>
          <w:lang w:val="en-GB"/>
        </w:rPr>
      </w:pPr>
      <w:r w:rsidRPr="005922AE">
        <w:rPr>
          <w:rFonts w:ascii="Times New Roman" w:hAnsi="Times New Roman" w:cs="Times New Roman"/>
          <w:lang w:val="en-GB"/>
        </w:rPr>
        <w:t>In the last RAN1 meeting</w:t>
      </w:r>
      <w:r w:rsidR="00C8175E" w:rsidRPr="005922AE">
        <w:rPr>
          <w:rFonts w:ascii="Times New Roman" w:hAnsi="Times New Roman" w:cs="Times New Roman"/>
          <w:lang w:val="en-GB"/>
        </w:rPr>
        <w:t>,</w:t>
      </w:r>
      <w:r w:rsidRPr="005922AE">
        <w:rPr>
          <w:rFonts w:ascii="Times New Roman" w:hAnsi="Times New Roman" w:cs="Times New Roman"/>
          <w:lang w:val="en-GB"/>
        </w:rPr>
        <w:t xml:space="preserve"> UE capability on restarting DMRS bundling was discussed extensively. In particular, the focus was on </w:t>
      </w:r>
      <w:r w:rsidR="008325FC" w:rsidRPr="005922AE">
        <w:rPr>
          <w:rFonts w:ascii="Times New Roman" w:hAnsi="Times New Roman" w:cs="Times New Roman"/>
          <w:lang w:val="en-GB"/>
        </w:rPr>
        <w:t xml:space="preserve">UE </w:t>
      </w:r>
      <w:r w:rsidR="00691EE5" w:rsidRPr="005922AE">
        <w:rPr>
          <w:rFonts w:ascii="Times New Roman" w:hAnsi="Times New Roman" w:cs="Times New Roman"/>
          <w:lang w:val="en-GB"/>
        </w:rPr>
        <w:t>behaviour</w:t>
      </w:r>
      <w:r w:rsidR="008325FC" w:rsidRPr="005922AE">
        <w:rPr>
          <w:rFonts w:ascii="Times New Roman" w:hAnsi="Times New Roman" w:cs="Times New Roman"/>
          <w:lang w:val="en-GB"/>
        </w:rPr>
        <w:t xml:space="preserve"> when a </w:t>
      </w:r>
      <w:r w:rsidR="00241D56" w:rsidRPr="005922AE">
        <w:rPr>
          <w:rFonts w:ascii="Times New Roman" w:hAnsi="Times New Roman" w:cs="Times New Roman"/>
          <w:lang w:val="en-GB"/>
        </w:rPr>
        <w:t>semi-static event follows or overlaps a dynamic event. In such a case there did not appear to be a clear consensus on how a UE that is incapable of restarting DMRS bunding would behave.</w:t>
      </w:r>
      <w:r w:rsidR="00AB57F2" w:rsidRPr="005922AE">
        <w:rPr>
          <w:rFonts w:ascii="Times New Roman" w:hAnsi="Times New Roman" w:cs="Times New Roman"/>
          <w:lang w:val="en-GB"/>
        </w:rPr>
        <w:t xml:space="preserve"> </w:t>
      </w:r>
      <w:r w:rsidR="00503F74" w:rsidRPr="005922AE">
        <w:rPr>
          <w:rFonts w:ascii="Times New Roman" w:hAnsi="Times New Roman" w:cs="Times New Roman"/>
          <w:lang w:val="en-GB"/>
        </w:rPr>
        <w:t>The two cases are illustrated in the figure</w:t>
      </w:r>
      <w:r w:rsidR="001B02BE" w:rsidRPr="005922AE">
        <w:rPr>
          <w:rFonts w:ascii="Times New Roman" w:hAnsi="Times New Roman" w:cs="Times New Roman"/>
          <w:lang w:val="en-GB"/>
        </w:rPr>
        <w:t xml:space="preserve"> below.</w:t>
      </w:r>
    </w:p>
    <w:p w14:paraId="5E36BA5E" w14:textId="77777777" w:rsidR="001B02BE" w:rsidRPr="005922AE" w:rsidRDefault="00252B1D" w:rsidP="001B02BE">
      <w:pPr>
        <w:keepNext/>
        <w:jc w:val="center"/>
        <w:rPr>
          <w:rFonts w:ascii="Times New Roman" w:hAnsi="Times New Roman" w:cs="Times New Roman"/>
        </w:rPr>
      </w:pPr>
      <w:r w:rsidRPr="005922AE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46D87EA5" wp14:editId="2CB3B218">
            <wp:extent cx="6111240" cy="2011680"/>
            <wp:effectExtent l="0" t="0" r="3810" b="7620"/>
            <wp:docPr id="1" name="Content Placeholder 6" descr="Graphical user interface, application, Wor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8CFC198-94AE-5A2D-C96A-E35B621D341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 descr="Graphical user interface, application, Word&#10;&#10;Description automatically generated">
                      <a:extLst>
                        <a:ext uri="{FF2B5EF4-FFF2-40B4-BE49-F238E27FC236}">
                          <a16:creationId xmlns:a16="http://schemas.microsoft.com/office/drawing/2014/main" id="{08CFC198-94AE-5A2D-C96A-E35B621D341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7"/>
                    <a:srcRect r="3490" b="15113"/>
                    <a:stretch/>
                  </pic:blipFill>
                  <pic:spPr bwMode="auto">
                    <a:xfrm>
                      <a:off x="0" y="0"/>
                      <a:ext cx="6111240" cy="2011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965AA0" w14:textId="5F754F9A" w:rsidR="00252B1D" w:rsidRPr="005922AE" w:rsidRDefault="001B02BE" w:rsidP="001B02BE">
      <w:pPr>
        <w:pStyle w:val="Caption"/>
        <w:jc w:val="center"/>
        <w:rPr>
          <w:rFonts w:ascii="Times New Roman" w:hAnsi="Times New Roman" w:cs="Times New Roman"/>
          <w:lang w:val="en-GB" w:eastAsia="zh-CN"/>
        </w:rPr>
      </w:pPr>
      <w:r w:rsidRPr="005922AE">
        <w:rPr>
          <w:rFonts w:ascii="Times New Roman" w:hAnsi="Times New Roman" w:cs="Times New Roman"/>
        </w:rPr>
        <w:t xml:space="preserve">Figure </w:t>
      </w:r>
      <w:r w:rsidR="00E4470B" w:rsidRPr="005922AE">
        <w:rPr>
          <w:rFonts w:ascii="Times New Roman" w:hAnsi="Times New Roman" w:cs="Times New Roman"/>
        </w:rPr>
        <w:fldChar w:fldCharType="begin"/>
      </w:r>
      <w:r w:rsidR="00E4470B" w:rsidRPr="005922AE">
        <w:rPr>
          <w:rFonts w:ascii="Times New Roman" w:hAnsi="Times New Roman" w:cs="Times New Roman"/>
        </w:rPr>
        <w:instrText xml:space="preserve"> SEQ Figure \* ARABIC </w:instrText>
      </w:r>
      <w:r w:rsidR="00E4470B" w:rsidRPr="005922AE">
        <w:rPr>
          <w:rFonts w:ascii="Times New Roman" w:hAnsi="Times New Roman" w:cs="Times New Roman"/>
        </w:rPr>
        <w:fldChar w:fldCharType="separate"/>
      </w:r>
      <w:r w:rsidRPr="005922AE">
        <w:rPr>
          <w:rFonts w:ascii="Times New Roman" w:hAnsi="Times New Roman" w:cs="Times New Roman"/>
          <w:noProof/>
        </w:rPr>
        <w:t>1</w:t>
      </w:r>
      <w:r w:rsidR="00E4470B" w:rsidRPr="005922AE">
        <w:rPr>
          <w:rFonts w:ascii="Times New Roman" w:hAnsi="Times New Roman" w:cs="Times New Roman"/>
          <w:noProof/>
        </w:rPr>
        <w:fldChar w:fldCharType="end"/>
      </w:r>
      <w:r w:rsidRPr="005922AE">
        <w:rPr>
          <w:rFonts w:ascii="Times New Roman" w:hAnsi="Times New Roman" w:cs="Times New Roman"/>
        </w:rPr>
        <w:t xml:space="preserve"> Scenarios where a semi-static event overlaps or follows a dynamic event. UE behavior on resta</w:t>
      </w:r>
      <w:r w:rsidR="00EB4DF3" w:rsidRPr="005922AE">
        <w:rPr>
          <w:rFonts w:ascii="Times New Roman" w:hAnsi="Times New Roman" w:cs="Times New Roman"/>
        </w:rPr>
        <w:t>r</w:t>
      </w:r>
      <w:r w:rsidRPr="005922AE">
        <w:rPr>
          <w:rFonts w:ascii="Times New Roman" w:hAnsi="Times New Roman" w:cs="Times New Roman"/>
        </w:rPr>
        <w:t>ting bundling after such</w:t>
      </w:r>
      <w:r w:rsidR="00EB4DF3" w:rsidRPr="005922AE">
        <w:rPr>
          <w:rFonts w:ascii="Times New Roman" w:hAnsi="Times New Roman" w:cs="Times New Roman"/>
        </w:rPr>
        <w:t xml:space="preserve"> a</w:t>
      </w:r>
      <w:r w:rsidRPr="005922AE">
        <w:rPr>
          <w:rFonts w:ascii="Times New Roman" w:hAnsi="Times New Roman" w:cs="Times New Roman"/>
        </w:rPr>
        <w:t xml:space="preserve"> semi-static event may need to be clarified.</w:t>
      </w:r>
      <w:r w:rsidR="00AA42FC" w:rsidRPr="005922AE">
        <w:rPr>
          <w:rFonts w:ascii="Times New Roman" w:hAnsi="Times New Roman" w:cs="Times New Roman"/>
        </w:rPr>
        <w:t xml:space="preserve"> (Taken from R1-2205483)</w:t>
      </w:r>
    </w:p>
    <w:p w14:paraId="0CD6E0A7" w14:textId="77777777" w:rsidR="00EB4DF3" w:rsidRPr="005922AE" w:rsidRDefault="00EB4DF3" w:rsidP="0009622B">
      <w:pPr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</w:pPr>
    </w:p>
    <w:p w14:paraId="40542015" w14:textId="17D44243" w:rsidR="00405578" w:rsidRPr="005922AE" w:rsidRDefault="00EB4DF3" w:rsidP="00EE21BC">
      <w:pPr>
        <w:jc w:val="both"/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Although we believe that a UE that is incapable of restarting bundling </w:t>
      </w:r>
      <w:r w:rsidR="005C6F41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after a dynamic event will not be able to restart bundling in the two scenarios outlined above an</w:t>
      </w:r>
      <w:r w:rsidR="008E328E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d that this is indeed how the specification is currently written, there does not seem to be a consensus on this </w:t>
      </w:r>
      <w:r w:rsidR="00405578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behavio</w:t>
      </w:r>
      <w:r w:rsidR="00EE21B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u</w:t>
      </w:r>
      <w:r w:rsidR="00405578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r. We are open to provide further clarity on this matter.</w:t>
      </w:r>
    </w:p>
    <w:p w14:paraId="05B01EF4" w14:textId="2C1BD52C" w:rsidR="0009622B" w:rsidRPr="005922AE" w:rsidRDefault="00405578" w:rsidP="00EE21BC">
      <w:pPr>
        <w:jc w:val="both"/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W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e </w:t>
      </w:r>
      <w:r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think it is important to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</w:t>
      </w:r>
      <w:r w:rsidR="00A110E1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let a </w:t>
      </w:r>
      <w:r w:rsidR="00857069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UE that is in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capable of restarting DMRS bundling in response to dynamic events</w:t>
      </w:r>
      <w:r w:rsidR="00A110E1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</w:t>
      </w:r>
      <w:r w:rsidR="002D275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to not have to restart bundling in case of subsequent semi-static events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.</w:t>
      </w:r>
      <w:r w:rsidR="002D275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This is a very useful baseline implementation to have and lets us test the core aspects of this feature.</w:t>
      </w:r>
      <w:r w:rsidR="0030586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We </w:t>
      </w:r>
      <w:r w:rsidR="002D275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are unsure of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whether the dynamics of </w:t>
      </w:r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lastRenderedPageBreak/>
        <w:t xml:space="preserve">restarting DMRS bundling will lead to stable operation in practical deployments. This capability fallback is a useful mode of operation to understand how much benefit there is in real-world deployments and as a </w:t>
      </w:r>
      <w:proofErr w:type="gramStart"/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step</w:t>
      </w:r>
      <w:r w:rsidR="002D275C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ping stone</w:t>
      </w:r>
      <w:proofErr w:type="gramEnd"/>
      <w:r w:rsidR="0009622B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 xml:space="preserve"> towards fully dynamic operation.</w:t>
      </w:r>
    </w:p>
    <w:p w14:paraId="0417BB77" w14:textId="2B77A44C" w:rsidR="006E0A36" w:rsidRPr="005922AE" w:rsidRDefault="006E0A36" w:rsidP="0009622B">
      <w:pPr>
        <w:rPr>
          <w:rFonts w:ascii="Times New Roman" w:hAnsi="Times New Roman" w:cs="Times New Roman"/>
          <w:color w:val="000000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Since there is preference for U</w:t>
      </w:r>
      <w:r w:rsidR="00D86D41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E</w:t>
      </w: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s to restart bundling after </w:t>
      </w:r>
      <w:r w:rsidR="00DA6C16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every semi-static event, we suggest amending the current UE capability on restarting DMRS bundling </w:t>
      </w:r>
      <w:r w:rsidR="00B41201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by introducing three classes of UEs:</w:t>
      </w:r>
    </w:p>
    <w:p w14:paraId="75019394" w14:textId="77777777" w:rsidR="0009622B" w:rsidRPr="005922AE" w:rsidRDefault="0009622B" w:rsidP="0009622B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shd w:val="clear" w:color="auto" w:fill="FFFFFF"/>
          <w:lang w:val="en-GB"/>
        </w:rPr>
        <w:t>UE Cap 0: no ability to restart bundling after dynamic events</w:t>
      </w:r>
    </w:p>
    <w:p w14:paraId="58878981" w14:textId="40716774" w:rsidR="0009622B" w:rsidRPr="005922AE" w:rsidRDefault="0009622B" w:rsidP="0009622B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shd w:val="clear" w:color="auto" w:fill="FFFFFF"/>
          <w:lang w:val="en-GB"/>
        </w:rPr>
        <w:t xml:space="preserve">UE Cap 1: ability to restart bundling after semi-static events only </w:t>
      </w:r>
    </w:p>
    <w:p w14:paraId="62B2F3B3" w14:textId="26921742" w:rsidR="0009622B" w:rsidRPr="005922AE" w:rsidRDefault="0009622B" w:rsidP="0009622B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color w:val="000000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UE Cap 2: full ability to restarting bundling</w:t>
      </w:r>
      <w:r w:rsidR="005D5534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 after semi-static or dynamic events</w:t>
      </w:r>
    </w:p>
    <w:p w14:paraId="498DC934" w14:textId="50A0DF0B" w:rsidR="0009622B" w:rsidRPr="005922AE" w:rsidRDefault="0009622B" w:rsidP="0009622B">
      <w:pPr>
        <w:rPr>
          <w:rFonts w:ascii="Times New Roman" w:hAnsi="Times New Roman" w:cs="Times New Roman"/>
          <w:color w:val="000000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Cap 0</w:t>
      </w:r>
      <w:r w:rsidR="003225F8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 UE</w:t>
      </w: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 will have a simple implementation, while </w:t>
      </w:r>
      <w:r w:rsidR="003225F8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Cap 1 </w:t>
      </w: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UE will try to restart bundling after a semi static event and </w:t>
      </w:r>
      <w:r w:rsidR="003225F8"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 xml:space="preserve">Cap 2 </w:t>
      </w:r>
      <w:r w:rsidRPr="005922AE">
        <w:rPr>
          <w:rFonts w:ascii="Times New Roman" w:hAnsi="Times New Roman" w:cs="Times New Roman"/>
          <w:color w:val="000000"/>
          <w:shd w:val="clear" w:color="auto" w:fill="FFFFFF"/>
          <w:lang w:val="en-GB"/>
        </w:rPr>
        <w:t>UE will have full ability to restart bundling.</w:t>
      </w:r>
    </w:p>
    <w:p w14:paraId="469995B8" w14:textId="18A6C3D4" w:rsidR="009270D4" w:rsidRPr="005922AE" w:rsidRDefault="00AE55B7" w:rsidP="0009622B">
      <w:pPr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</w:pPr>
      <w:r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This amendment should sufficiently clarify UE behavio</w:t>
      </w:r>
      <w:r w:rsidR="006316A5"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u</w:t>
      </w:r>
      <w:r w:rsidRPr="005922AE">
        <w:rPr>
          <w:rFonts w:ascii="Times New Roman" w:hAnsi="Times New Roman" w:cs="Times New Roman"/>
          <w:color w:val="000000"/>
          <w:szCs w:val="21"/>
          <w:shd w:val="clear" w:color="auto" w:fill="FFFFFF"/>
          <w:lang w:val="en-GB"/>
        </w:rPr>
        <w:t>r. We support the following proposal discussed in the last meeting:</w:t>
      </w:r>
    </w:p>
    <w:p w14:paraId="5FA1C1DD" w14:textId="632F29C9" w:rsidR="000F7800" w:rsidRPr="005922AE" w:rsidRDefault="000F7800" w:rsidP="00AF45D4">
      <w:pPr>
        <w:jc w:val="both"/>
        <w:rPr>
          <w:rFonts w:ascii="Times New Roman" w:hAnsi="Times New Roman" w:cs="Times New Roman"/>
          <w:u w:val="single"/>
          <w:lang w:eastAsia="zh-CN"/>
        </w:rPr>
      </w:pPr>
      <w:r w:rsidRPr="005922AE">
        <w:rPr>
          <w:rFonts w:ascii="Times New Roman" w:hAnsi="Times New Roman" w:cs="Times New Roman"/>
          <w:b/>
          <w:bCs/>
          <w:u w:val="single"/>
          <w:lang w:eastAsia="zh-CN"/>
        </w:rPr>
        <w:t>Proposal</w:t>
      </w:r>
      <w:r w:rsidR="001A32A3" w:rsidRPr="005922AE">
        <w:rPr>
          <w:rFonts w:ascii="Times New Roman" w:hAnsi="Times New Roman" w:cs="Times New Roman"/>
          <w:b/>
          <w:bCs/>
          <w:u w:val="single"/>
          <w:lang w:eastAsia="zh-CN"/>
        </w:rPr>
        <w:t xml:space="preserve"> 1</w:t>
      </w:r>
      <w:r w:rsidRPr="005922AE">
        <w:rPr>
          <w:rFonts w:ascii="Times New Roman" w:hAnsi="Times New Roman" w:cs="Times New Roman"/>
          <w:b/>
          <w:bCs/>
          <w:u w:val="single"/>
          <w:lang w:eastAsia="zh-CN"/>
        </w:rPr>
        <w:t>:</w:t>
      </w:r>
    </w:p>
    <w:p w14:paraId="5B9728C1" w14:textId="77777777" w:rsidR="000F7800" w:rsidRPr="005922AE" w:rsidRDefault="000F7800" w:rsidP="00AF45D4">
      <w:pPr>
        <w:numPr>
          <w:ilvl w:val="0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For UE not capable of restarting DMRS bundling in response to dynamic events subject to FG-4g, </w:t>
      </w:r>
    </w:p>
    <w:p w14:paraId="51035C6A" w14:textId="77777777" w:rsidR="000F7800" w:rsidRPr="005922AE" w:rsidRDefault="000F7800" w:rsidP="00AF45D4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UE is able to restart DMRS bundling after a semi-static event, if there are no precedent dynamic events and no overlapping dynamic events with the semi-static event within the nominal TDW. </w:t>
      </w:r>
    </w:p>
    <w:p w14:paraId="08FD225B" w14:textId="54CBE2E9" w:rsidR="000F7800" w:rsidRPr="005922AE" w:rsidRDefault="000F7800" w:rsidP="00AF45D4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It’s subject to UE capability whether UE can restart DMRS bundling after a semi-static event, if there are precedent dynamic events or overlapping dynamic events with the semi-static event within the nominal TDW. </w:t>
      </w:r>
    </w:p>
    <w:p w14:paraId="721BBA59" w14:textId="77777777" w:rsidR="000F7800" w:rsidRPr="005922AE" w:rsidRDefault="000F7800" w:rsidP="00AF45D4">
      <w:pPr>
        <w:numPr>
          <w:ilvl w:val="2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UE Cap 0: UE has no ability to restart DMRS bundling after a dynamic event, i.e., after a dynamic event occurs during a nominal TDW, UE does not restart DMRS bundling until the end of the nominal TDW. This </w:t>
      </w:r>
      <w:proofErr w:type="spellStart"/>
      <w:r w:rsidRPr="005922AE">
        <w:rPr>
          <w:rFonts w:ascii="Times New Roman" w:hAnsi="Times New Roman" w:cs="Times New Roman"/>
          <w:lang w:eastAsia="zh-CN"/>
        </w:rPr>
        <w:t>behaviour</w:t>
      </w:r>
      <w:proofErr w:type="spellEnd"/>
      <w:r w:rsidRPr="005922AE">
        <w:rPr>
          <w:rFonts w:ascii="Times New Roman" w:hAnsi="Times New Roman" w:cs="Times New Roman"/>
          <w:lang w:eastAsia="zh-CN"/>
        </w:rPr>
        <w:t xml:space="preserve"> applies even if semi-static events occur after or overlapping with the dynamic event within the nominal TDW.</w:t>
      </w:r>
    </w:p>
    <w:p w14:paraId="2CC8D880" w14:textId="77777777" w:rsidR="000F7800" w:rsidRPr="005922AE" w:rsidRDefault="000F7800" w:rsidP="00AF45D4">
      <w:pPr>
        <w:numPr>
          <w:ilvl w:val="2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>UE Cap 1: UE is always able to restart DMRS bundling after semi-static events. In case a dynamic event occurs during a nominal TDW, UE does not restart DMRS bundling until the next semi-static event (if any) before the end of the nominal TDW, and UE restarts DMRS bundling after the semi-static event.</w:t>
      </w:r>
    </w:p>
    <w:p w14:paraId="30267D31" w14:textId="77777777" w:rsidR="000F7800" w:rsidRPr="005922AE" w:rsidRDefault="000F7800" w:rsidP="00AF45D4">
      <w:pPr>
        <w:numPr>
          <w:ilvl w:val="0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For UE capable of restarting DM-RS bundling in response to dynamic events subject to FG-4g, </w:t>
      </w:r>
    </w:p>
    <w:p w14:paraId="4F9DA0B5" w14:textId="77777777" w:rsidR="000F7800" w:rsidRPr="005922AE" w:rsidRDefault="000F7800" w:rsidP="00AF45D4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>UE Cap 2: UE has full ability to restart DMRS bundling, i.e., UE restarts DMRS bundling after any dynamic or semi-static events.</w:t>
      </w:r>
    </w:p>
    <w:p w14:paraId="4A162FEB" w14:textId="5DC4C4DC" w:rsidR="00DD26D0" w:rsidRPr="005922AE" w:rsidRDefault="00047D8B" w:rsidP="00047D8B">
      <w:pPr>
        <w:pStyle w:val="Heading1"/>
        <w:rPr>
          <w:rFonts w:ascii="Times New Roman" w:hAnsi="Times New Roma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5"/>
      <w:bookmarkEnd w:id="6"/>
      <w:bookmarkEnd w:id="7"/>
      <w:r w:rsidRPr="005922AE">
        <w:rPr>
          <w:rFonts w:ascii="Times New Roman" w:hAnsi="Times New Roman"/>
        </w:rPr>
        <w:t>D</w:t>
      </w:r>
      <w:r w:rsidR="006E2403" w:rsidRPr="005922AE">
        <w:rPr>
          <w:rFonts w:ascii="Times New Roman" w:hAnsi="Times New Roman"/>
        </w:rPr>
        <w:t xml:space="preserve">MRS </w:t>
      </w:r>
      <w:r w:rsidR="00D76622" w:rsidRPr="005922AE">
        <w:rPr>
          <w:rFonts w:ascii="Times New Roman" w:hAnsi="Times New Roman"/>
        </w:rPr>
        <w:t>B</w:t>
      </w:r>
      <w:r w:rsidR="006E2403" w:rsidRPr="005922AE">
        <w:rPr>
          <w:rFonts w:ascii="Times New Roman" w:hAnsi="Times New Roman"/>
        </w:rPr>
        <w:t xml:space="preserve">undling for </w:t>
      </w:r>
      <w:r w:rsidR="00D76622" w:rsidRPr="005922AE">
        <w:rPr>
          <w:rFonts w:ascii="Times New Roman" w:hAnsi="Times New Roman"/>
        </w:rPr>
        <w:t>U</w:t>
      </w:r>
      <w:r w:rsidR="006E2403" w:rsidRPr="005922AE">
        <w:rPr>
          <w:rFonts w:ascii="Times New Roman" w:hAnsi="Times New Roman"/>
        </w:rPr>
        <w:t xml:space="preserve">plink </w:t>
      </w:r>
      <w:r w:rsidR="00D76622" w:rsidRPr="005922AE">
        <w:rPr>
          <w:rFonts w:ascii="Times New Roman" w:hAnsi="Times New Roman"/>
        </w:rPr>
        <w:t>M</w:t>
      </w:r>
      <w:r w:rsidR="006E2403" w:rsidRPr="005922AE">
        <w:rPr>
          <w:rFonts w:ascii="Times New Roman" w:hAnsi="Times New Roman"/>
        </w:rPr>
        <w:t xml:space="preserve">ulti-carrier </w:t>
      </w:r>
      <w:r w:rsidRPr="005922AE">
        <w:rPr>
          <w:rFonts w:ascii="Times New Roman" w:hAnsi="Times New Roman"/>
        </w:rPr>
        <w:t>S</w:t>
      </w:r>
      <w:r w:rsidR="006E2403" w:rsidRPr="005922AE">
        <w:rPr>
          <w:rFonts w:ascii="Times New Roman" w:hAnsi="Times New Roman"/>
        </w:rPr>
        <w:t>cenario</w:t>
      </w:r>
      <w:r w:rsidRPr="005922AE">
        <w:rPr>
          <w:rFonts w:ascii="Times New Roman" w:hAnsi="Times New Roman"/>
        </w:rPr>
        <w:t>s</w:t>
      </w:r>
      <w:r w:rsidR="00DB07F4" w:rsidRPr="005922AE">
        <w:rPr>
          <w:rFonts w:ascii="Times New Roman" w:hAnsi="Times New Roman"/>
        </w:rPr>
        <w:t xml:space="preserve"> </w:t>
      </w:r>
    </w:p>
    <w:p w14:paraId="60C11532" w14:textId="009F6223" w:rsidR="002F44F7" w:rsidRPr="005922AE" w:rsidRDefault="001B0759" w:rsidP="002F44F7">
      <w:pPr>
        <w:rPr>
          <w:rFonts w:ascii="Times New Roman" w:hAnsi="Times New Roman" w:cs="Times New Roman"/>
          <w:lang w:val="en-GB"/>
        </w:rPr>
      </w:pPr>
      <w:r w:rsidRPr="005922AE">
        <w:rPr>
          <w:rFonts w:ascii="Times New Roman" w:hAnsi="Times New Roman" w:cs="Times New Roman"/>
          <w:lang w:val="en-GB"/>
        </w:rPr>
        <w:t xml:space="preserve">This issue was discussed extensively in the last meeting. </w:t>
      </w:r>
      <w:r w:rsidR="00E31487" w:rsidRPr="005922AE">
        <w:rPr>
          <w:rFonts w:ascii="Times New Roman" w:hAnsi="Times New Roman" w:cs="Times New Roman"/>
          <w:lang w:val="en-GB"/>
        </w:rPr>
        <w:t xml:space="preserve">The goal of this exercise is to ensure that DMRS bundling can be enabled in at least certain multi-carrier scenarios where </w:t>
      </w:r>
      <w:r w:rsidR="007321AB" w:rsidRPr="005922AE">
        <w:rPr>
          <w:rFonts w:ascii="Times New Roman" w:hAnsi="Times New Roman" w:cs="Times New Roman"/>
          <w:lang w:val="en-GB"/>
        </w:rPr>
        <w:t>concurrent transmissions do not occur and no further RAN1 specification change is necessary.</w:t>
      </w:r>
    </w:p>
    <w:p w14:paraId="7D847688" w14:textId="5A3F104F" w:rsidR="007321AB" w:rsidRPr="005922AE" w:rsidRDefault="00991507" w:rsidP="002F44F7">
      <w:pPr>
        <w:rPr>
          <w:rFonts w:ascii="Times New Roman" w:hAnsi="Times New Roman" w:cs="Times New Roman"/>
          <w:lang w:val="en-GB"/>
        </w:rPr>
      </w:pPr>
      <w:r w:rsidRPr="005922AE">
        <w:rPr>
          <w:rFonts w:ascii="Times New Roman" w:hAnsi="Times New Roman" w:cs="Times New Roman"/>
          <w:lang w:val="en-GB"/>
        </w:rPr>
        <w:t xml:space="preserve">To avoid issues due to intervening transmission on </w:t>
      </w:r>
      <w:r w:rsidR="005F124E" w:rsidRPr="005922AE">
        <w:rPr>
          <w:rFonts w:ascii="Times New Roman" w:hAnsi="Times New Roman" w:cs="Times New Roman"/>
          <w:lang w:val="en-GB"/>
        </w:rPr>
        <w:t>a second</w:t>
      </w:r>
      <w:r w:rsidRPr="005922AE">
        <w:rPr>
          <w:rFonts w:ascii="Times New Roman" w:hAnsi="Times New Roman" w:cs="Times New Roman"/>
          <w:lang w:val="en-GB"/>
        </w:rPr>
        <w:t xml:space="preserve"> carrier</w:t>
      </w:r>
      <w:r w:rsidR="00324637" w:rsidRPr="005922AE">
        <w:rPr>
          <w:rFonts w:ascii="Times New Roman" w:hAnsi="Times New Roman" w:cs="Times New Roman"/>
          <w:lang w:val="en-GB"/>
        </w:rPr>
        <w:t xml:space="preserve"> when </w:t>
      </w:r>
      <w:r w:rsidR="00CA617B" w:rsidRPr="005922AE">
        <w:rPr>
          <w:rFonts w:ascii="Times New Roman" w:hAnsi="Times New Roman" w:cs="Times New Roman"/>
          <w:lang w:val="en-GB"/>
        </w:rPr>
        <w:t xml:space="preserve">an actual TDW for DMRS bundling </w:t>
      </w:r>
      <w:r w:rsidR="005F124E" w:rsidRPr="005922AE">
        <w:rPr>
          <w:rFonts w:ascii="Times New Roman" w:hAnsi="Times New Roman" w:cs="Times New Roman"/>
          <w:lang w:val="en-GB"/>
        </w:rPr>
        <w:t>on the first carrier</w:t>
      </w:r>
      <w:r w:rsidR="00CA617B" w:rsidRPr="005922AE">
        <w:rPr>
          <w:rFonts w:ascii="Times New Roman" w:hAnsi="Times New Roman" w:cs="Times New Roman"/>
          <w:lang w:val="en-GB"/>
        </w:rPr>
        <w:t xml:space="preserve"> spans unoccupied gaps </w:t>
      </w:r>
      <w:r w:rsidR="005F124E" w:rsidRPr="005922AE">
        <w:rPr>
          <w:rFonts w:ascii="Times New Roman" w:hAnsi="Times New Roman" w:cs="Times New Roman"/>
          <w:lang w:val="en-GB"/>
        </w:rPr>
        <w:t xml:space="preserve">between slots, we suggest that support for bundling across </w:t>
      </w:r>
      <w:proofErr w:type="gramStart"/>
      <w:r w:rsidR="005F124E" w:rsidRPr="005922AE">
        <w:rPr>
          <w:rFonts w:ascii="Times New Roman" w:hAnsi="Times New Roman" w:cs="Times New Roman"/>
          <w:lang w:val="en-GB"/>
        </w:rPr>
        <w:t>non back-to-back</w:t>
      </w:r>
      <w:proofErr w:type="gramEnd"/>
      <w:r w:rsidR="005F124E" w:rsidRPr="005922AE">
        <w:rPr>
          <w:rFonts w:ascii="Times New Roman" w:hAnsi="Times New Roman" w:cs="Times New Roman"/>
          <w:lang w:val="en-GB"/>
        </w:rPr>
        <w:t xml:space="preserve"> scenarios be limited to single carrier scenarios:</w:t>
      </w:r>
    </w:p>
    <w:p w14:paraId="6DF48F4D" w14:textId="7DC9790B" w:rsidR="005F124E" w:rsidRPr="00D90215" w:rsidRDefault="005F124E" w:rsidP="005F124E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lastRenderedPageBreak/>
        <w:t>Proposal 2</w:t>
      </w:r>
      <w:r w:rsidRPr="005922AE">
        <w:rPr>
          <w:rFonts w:ascii="Times New Roman" w:eastAsia="MS Mincho" w:hAnsi="Times New Roman" w:cs="Times New Roman"/>
        </w:rPr>
        <w:t xml:space="preserve">: </w:t>
      </w:r>
      <w:r w:rsidRPr="00D90215">
        <w:rPr>
          <w:rFonts w:ascii="Times New Roman" w:eastAsia="MS Mincho" w:hAnsi="Times New Roman" w:cs="Times New Roman"/>
        </w:rPr>
        <w:t>Add the following constraint to 30-4h (non-back-to-back case):</w:t>
      </w:r>
    </w:p>
    <w:p w14:paraId="2B0B395B" w14:textId="0C5923AB" w:rsidR="005F124E" w:rsidRPr="00D90215" w:rsidRDefault="005F124E" w:rsidP="005F124E">
      <w:pPr>
        <w:rPr>
          <w:rFonts w:ascii="Times New Roman" w:eastAsia="MS Mincho" w:hAnsi="Times New Roman" w:cs="Times New Roman"/>
        </w:rPr>
      </w:pPr>
      <w:r w:rsidRPr="00D90215">
        <w:rPr>
          <w:rFonts w:ascii="Times New Roman" w:eastAsia="MS Mincho" w:hAnsi="Times New Roman" w:cs="Times New Roman"/>
        </w:rPr>
        <w:t> </w:t>
      </w:r>
      <w:r w:rsidR="0085483A" w:rsidRPr="005922AE">
        <w:rPr>
          <w:rFonts w:ascii="Times New Roman" w:eastAsia="MS Mincho" w:hAnsi="Times New Roman" w:cs="Times New Roman"/>
        </w:rPr>
        <w:t>“</w:t>
      </w:r>
      <w:r w:rsidRPr="00D90215">
        <w:rPr>
          <w:rFonts w:ascii="Times New Roman" w:eastAsia="MS Mincho" w:hAnsi="Times New Roman" w:cs="Times New Roman"/>
        </w:rPr>
        <w:t>Note: This capability is only applicable when UE is configured with single uplink carrier.</w:t>
      </w:r>
      <w:r w:rsidR="0085483A" w:rsidRPr="005922AE">
        <w:rPr>
          <w:rFonts w:ascii="Times New Roman" w:eastAsia="MS Mincho" w:hAnsi="Times New Roman" w:cs="Times New Roman"/>
        </w:rPr>
        <w:t>”</w:t>
      </w:r>
    </w:p>
    <w:p w14:paraId="68A41A4B" w14:textId="6F4E3733" w:rsidR="005F124E" w:rsidRPr="005922AE" w:rsidRDefault="0085483A" w:rsidP="005F124E">
      <w:pPr>
        <w:rPr>
          <w:rFonts w:ascii="Times New Roman" w:hAnsi="Times New Roman" w:cs="Times New Roman"/>
          <w:lang w:val="en-GB"/>
        </w:rPr>
      </w:pPr>
      <w:r w:rsidRPr="005922AE">
        <w:rPr>
          <w:rFonts w:ascii="Times New Roman" w:hAnsi="Times New Roman" w:cs="Times New Roman"/>
          <w:lang w:val="en-GB"/>
        </w:rPr>
        <w:t>Next, focusing on the four FGs for DMRS-bundling across back-</w:t>
      </w:r>
      <w:r w:rsidR="00F4364B" w:rsidRPr="005922AE">
        <w:rPr>
          <w:rFonts w:ascii="Times New Roman" w:hAnsi="Times New Roman" w:cs="Times New Roman"/>
          <w:lang w:val="en-GB"/>
        </w:rPr>
        <w:t>to-back slots with no gaps in transmission, we suggest that DMRS bundling be supported as long as there are no concurrent transmissions across carriers</w:t>
      </w:r>
      <w:r w:rsidR="008528CC" w:rsidRPr="005922AE">
        <w:rPr>
          <w:rFonts w:ascii="Times New Roman" w:hAnsi="Times New Roman" w:cs="Times New Roman"/>
          <w:lang w:val="en-GB"/>
        </w:rPr>
        <w:t xml:space="preserve"> for </w:t>
      </w:r>
      <w:r w:rsidR="002F53D1" w:rsidRPr="005922AE">
        <w:rPr>
          <w:rFonts w:ascii="Times New Roman" w:hAnsi="Times New Roman" w:cs="Times New Roman"/>
          <w:lang w:val="en-GB"/>
        </w:rPr>
        <w:t xml:space="preserve">FR1+FR2 </w:t>
      </w:r>
      <w:r w:rsidR="008528CC" w:rsidRPr="005922AE">
        <w:rPr>
          <w:rFonts w:ascii="Times New Roman" w:hAnsi="Times New Roman" w:cs="Times New Roman"/>
          <w:lang w:val="en-GB"/>
        </w:rPr>
        <w:t xml:space="preserve">inter-band </w:t>
      </w:r>
      <w:r w:rsidR="002F53D1" w:rsidRPr="005922AE">
        <w:rPr>
          <w:rFonts w:ascii="Times New Roman" w:hAnsi="Times New Roman" w:cs="Times New Roman"/>
          <w:lang w:val="en-GB"/>
        </w:rPr>
        <w:t xml:space="preserve">scenarios. This can then be added to the FR1+FR2 CA/DC scenario already identified by RAN4 as being feasible and currently included in the RAN4 specification. </w:t>
      </w:r>
      <w:r w:rsidR="002467D1" w:rsidRPr="005922AE">
        <w:rPr>
          <w:rFonts w:ascii="Times New Roman" w:hAnsi="Times New Roman" w:cs="Times New Roman"/>
          <w:lang w:val="en-GB"/>
        </w:rPr>
        <w:t>We make the following proposal:</w:t>
      </w:r>
    </w:p>
    <w:p w14:paraId="605CA81B" w14:textId="3A18F12F" w:rsidR="002F44F7" w:rsidRPr="00740DAD" w:rsidRDefault="002F44F7" w:rsidP="00397499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t xml:space="preserve">Proposal </w:t>
      </w:r>
      <w:r w:rsidR="001A32A3" w:rsidRPr="005922AE">
        <w:rPr>
          <w:rFonts w:ascii="Times New Roman" w:eastAsia="MS Mincho" w:hAnsi="Times New Roman" w:cs="Times New Roman"/>
          <w:b/>
          <w:bCs/>
          <w:u w:val="single"/>
        </w:rPr>
        <w:t>3</w:t>
      </w:r>
      <w:r w:rsidRPr="005922AE">
        <w:rPr>
          <w:rFonts w:ascii="Times New Roman" w:eastAsia="MS Mincho" w:hAnsi="Times New Roman" w:cs="Times New Roman"/>
        </w:rPr>
        <w:t xml:space="preserve">: </w:t>
      </w:r>
      <w:r w:rsidRPr="00740DAD">
        <w:rPr>
          <w:rFonts w:ascii="Times New Roman" w:eastAsia="MS Mincho" w:hAnsi="Times New Roman" w:cs="Times New Roman"/>
        </w:rPr>
        <w:t>Add the following constraints to UE cap</w:t>
      </w:r>
      <w:r w:rsidRPr="005922AE">
        <w:rPr>
          <w:rFonts w:ascii="Times New Roman" w:eastAsia="MS Mincho" w:hAnsi="Times New Roman" w:cs="Times New Roman"/>
        </w:rPr>
        <w:t>ability FGs</w:t>
      </w:r>
      <w:r w:rsidRPr="00740DAD">
        <w:rPr>
          <w:rFonts w:ascii="Times New Roman" w:eastAsia="MS Mincho" w:hAnsi="Times New Roman" w:cs="Times New Roman"/>
        </w:rPr>
        <w:t xml:space="preserve"> 30-4a, 4b, 4c, and 4d (the four back-to-back cases):</w:t>
      </w:r>
    </w:p>
    <w:p w14:paraId="5CD7D66A" w14:textId="01963D29" w:rsidR="002F44F7" w:rsidRPr="00740DAD" w:rsidRDefault="00797186" w:rsidP="002F44F7">
      <w:pPr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>“</w:t>
      </w:r>
      <w:r w:rsidR="002F44F7" w:rsidRPr="00740DAD">
        <w:rPr>
          <w:rFonts w:ascii="Times New Roman" w:eastAsia="MS Mincho" w:hAnsi="Times New Roman" w:cs="Times New Roman"/>
        </w:rPr>
        <w:t>Note: This capability is applicable in the following multi-carrier scenarios:</w:t>
      </w:r>
    </w:p>
    <w:p w14:paraId="5F4976D3" w14:textId="77777777" w:rsidR="00740DAD" w:rsidRPr="00740DAD" w:rsidRDefault="005922AE" w:rsidP="002F44F7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 xml:space="preserve">FR1+FR2 CA/DC with one band on FR1 and another band on FR2. </w:t>
      </w:r>
      <w:r w:rsidR="002F44F7" w:rsidRPr="005922AE">
        <w:rPr>
          <w:rFonts w:ascii="Times New Roman" w:hAnsi="Times New Roman" w:cs="Times New Roman"/>
        </w:rPr>
        <w:t>DMRS bundling configuration is limited to one uplink NR carrier in total on all FRs at a time.</w:t>
      </w:r>
    </w:p>
    <w:p w14:paraId="20606016" w14:textId="77777777" w:rsidR="00740DAD" w:rsidRPr="00740DAD" w:rsidRDefault="005922AE" w:rsidP="002F44F7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 xml:space="preserve">SUL </w:t>
      </w:r>
    </w:p>
    <w:p w14:paraId="2C52E0E5" w14:textId="19D98A7E" w:rsidR="002F44F7" w:rsidRPr="005922AE" w:rsidRDefault="005922AE" w:rsidP="002F44F7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>FR1+FR1 Inter-band CA</w:t>
      </w:r>
      <w:r w:rsidR="00797186" w:rsidRPr="005922AE">
        <w:rPr>
          <w:rFonts w:ascii="Times New Roman" w:eastAsia="MS Mincho" w:hAnsi="Times New Roman" w:cs="Times New Roman"/>
        </w:rPr>
        <w:t>/DC</w:t>
      </w:r>
      <w:r w:rsidRPr="00740DAD">
        <w:rPr>
          <w:rFonts w:ascii="Times New Roman" w:eastAsia="MS Mincho" w:hAnsi="Times New Roman" w:cs="Times New Roman"/>
        </w:rPr>
        <w:t xml:space="preserve"> involving two or more FR1 bands where UE does not expect concurrent uplink transmissions on any two carriers</w:t>
      </w:r>
    </w:p>
    <w:p w14:paraId="028A6DD0" w14:textId="20461E13" w:rsidR="00740DAD" w:rsidRPr="00740DAD" w:rsidRDefault="002F44F7" w:rsidP="001A6DC2">
      <w:pPr>
        <w:spacing w:after="0" w:line="240" w:lineRule="auto"/>
        <w:ind w:left="360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 xml:space="preserve">All carriers </w:t>
      </w:r>
      <w:r w:rsidR="001A6DC2" w:rsidRPr="005922AE">
        <w:rPr>
          <w:rFonts w:ascii="Times New Roman" w:eastAsia="MS Mincho" w:hAnsi="Times New Roman" w:cs="Times New Roman"/>
        </w:rPr>
        <w:t xml:space="preserve">must </w:t>
      </w:r>
      <w:r w:rsidRPr="005922AE">
        <w:rPr>
          <w:rFonts w:ascii="Times New Roman" w:eastAsia="MS Mincho" w:hAnsi="Times New Roman" w:cs="Times New Roman"/>
        </w:rPr>
        <w:t>belong to a single TAG</w:t>
      </w:r>
      <w:r w:rsidR="00797186" w:rsidRPr="005922AE">
        <w:rPr>
          <w:rFonts w:ascii="Times New Roman" w:eastAsia="MS Mincho" w:hAnsi="Times New Roman" w:cs="Times New Roman"/>
        </w:rPr>
        <w:t>”</w:t>
      </w:r>
    </w:p>
    <w:p w14:paraId="13A37605" w14:textId="20C0A6AD" w:rsidR="002F44F7" w:rsidRPr="005922AE" w:rsidRDefault="002F44F7" w:rsidP="002F44F7">
      <w:pPr>
        <w:rPr>
          <w:rFonts w:ascii="Times New Roman" w:eastAsia="MS Mincho" w:hAnsi="Times New Roman" w:cs="Times New Roman"/>
        </w:rPr>
      </w:pPr>
    </w:p>
    <w:p w14:paraId="19C6EF26" w14:textId="360BDF1F" w:rsidR="007B3EC4" w:rsidRPr="005922AE" w:rsidRDefault="007B3EC4" w:rsidP="002F44F7">
      <w:pPr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 xml:space="preserve">Further we suggest that support for these FGs be indicated </w:t>
      </w:r>
      <w:r w:rsidR="001A32A3" w:rsidRPr="005922AE">
        <w:rPr>
          <w:rFonts w:ascii="Times New Roman" w:eastAsia="MS Mincho" w:hAnsi="Times New Roman" w:cs="Times New Roman"/>
        </w:rPr>
        <w:t>at per band and per band combination granularity.</w:t>
      </w:r>
    </w:p>
    <w:p w14:paraId="10D61AAF" w14:textId="3B0BF7F5" w:rsidR="002F44F7" w:rsidRPr="005922AE" w:rsidRDefault="002F44F7" w:rsidP="001A32A3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t xml:space="preserve">Proposal </w:t>
      </w:r>
      <w:r w:rsidR="001A32A3" w:rsidRPr="005922AE">
        <w:rPr>
          <w:rFonts w:ascii="Times New Roman" w:eastAsia="MS Mincho" w:hAnsi="Times New Roman" w:cs="Times New Roman"/>
          <w:b/>
          <w:bCs/>
          <w:u w:val="single"/>
        </w:rPr>
        <w:t>4</w:t>
      </w:r>
      <w:r w:rsidRPr="005922AE">
        <w:rPr>
          <w:rFonts w:ascii="Times New Roman" w:eastAsia="MS Mincho" w:hAnsi="Times New Roman" w:cs="Times New Roman"/>
        </w:rPr>
        <w:t xml:space="preserve">: </w:t>
      </w:r>
      <w:r w:rsidRPr="00740DAD">
        <w:rPr>
          <w:rFonts w:ascii="Times New Roman" w:eastAsia="MS Mincho" w:hAnsi="Times New Roman" w:cs="Times New Roman"/>
        </w:rPr>
        <w:t>UE cap</w:t>
      </w:r>
      <w:r w:rsidRPr="005922AE">
        <w:rPr>
          <w:rFonts w:ascii="Times New Roman" w:eastAsia="MS Mincho" w:hAnsi="Times New Roman" w:cs="Times New Roman"/>
        </w:rPr>
        <w:t>ability FGs</w:t>
      </w:r>
      <w:r w:rsidRPr="00740DAD">
        <w:rPr>
          <w:rFonts w:ascii="Times New Roman" w:eastAsia="MS Mincho" w:hAnsi="Times New Roman" w:cs="Times New Roman"/>
        </w:rPr>
        <w:t xml:space="preserve"> 30-4a, 4b, 4c, and 4d</w:t>
      </w:r>
      <w:r w:rsidRPr="005922AE">
        <w:rPr>
          <w:rFonts w:ascii="Times New Roman" w:eastAsia="MS Mincho" w:hAnsi="Times New Roman" w:cs="Times New Roman"/>
        </w:rPr>
        <w:t xml:space="preserve"> are signaled at per band and per band combination granularity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24A2B30" w14:textId="0D079A23" w:rsidR="00B44254" w:rsidRPr="005922AE" w:rsidRDefault="00B44254" w:rsidP="00FD4DCA">
      <w:pPr>
        <w:pStyle w:val="Heading1"/>
        <w:jc w:val="both"/>
        <w:rPr>
          <w:rFonts w:ascii="Times New Roman" w:hAnsi="Times New Roman"/>
          <w:lang w:eastAsia="zh-CN"/>
        </w:rPr>
      </w:pPr>
      <w:r w:rsidRPr="005922AE">
        <w:rPr>
          <w:rFonts w:ascii="Times New Roman" w:hAnsi="Times New Roman"/>
          <w:lang w:eastAsia="zh-CN"/>
        </w:rPr>
        <w:t>Conclusion</w:t>
      </w:r>
    </w:p>
    <w:p w14:paraId="77B0E34A" w14:textId="6E7FFECE" w:rsidR="00B44254" w:rsidRPr="005922AE" w:rsidRDefault="00B44254" w:rsidP="00B44254">
      <w:pPr>
        <w:rPr>
          <w:rFonts w:ascii="Times New Roman" w:hAnsi="Times New Roman" w:cs="Times New Roman"/>
          <w:lang w:val="en-GB" w:eastAsia="zh-CN"/>
        </w:rPr>
      </w:pPr>
      <w:r w:rsidRPr="005922AE">
        <w:rPr>
          <w:rFonts w:ascii="Times New Roman" w:hAnsi="Times New Roman" w:cs="Times New Roman"/>
          <w:lang w:val="en-GB" w:eastAsia="zh-CN"/>
        </w:rPr>
        <w:t>We make the following proposals in this</w:t>
      </w:r>
      <w:r w:rsidR="00F94CF5" w:rsidRPr="005922AE">
        <w:rPr>
          <w:rFonts w:ascii="Times New Roman" w:hAnsi="Times New Roman" w:cs="Times New Roman"/>
          <w:lang w:val="en-GB" w:eastAsia="zh-CN"/>
        </w:rPr>
        <w:t xml:space="preserve"> document:</w:t>
      </w:r>
    </w:p>
    <w:p w14:paraId="0032C146" w14:textId="71AF4B6A" w:rsidR="00F94CF5" w:rsidRPr="005922AE" w:rsidRDefault="00F94CF5" w:rsidP="00F94CF5">
      <w:pPr>
        <w:jc w:val="both"/>
        <w:rPr>
          <w:rFonts w:ascii="Times New Roman" w:hAnsi="Times New Roman" w:cs="Times New Roman"/>
          <w:u w:val="single"/>
          <w:lang w:eastAsia="zh-CN"/>
        </w:rPr>
      </w:pPr>
      <w:r w:rsidRPr="005922AE">
        <w:rPr>
          <w:rFonts w:ascii="Times New Roman" w:hAnsi="Times New Roman" w:cs="Times New Roman"/>
          <w:b/>
          <w:bCs/>
          <w:u w:val="single"/>
          <w:lang w:eastAsia="zh-CN"/>
        </w:rPr>
        <w:t>Proposal 1:</w:t>
      </w:r>
    </w:p>
    <w:p w14:paraId="362D56EF" w14:textId="77777777" w:rsidR="00F94CF5" w:rsidRPr="005922AE" w:rsidRDefault="00F94CF5" w:rsidP="00F94CF5">
      <w:pPr>
        <w:numPr>
          <w:ilvl w:val="0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For UE not capable of restarting DMRS bundling in response to dynamic events subject to FG-4g, </w:t>
      </w:r>
    </w:p>
    <w:p w14:paraId="046CEF60" w14:textId="77777777" w:rsidR="00F94CF5" w:rsidRPr="005922AE" w:rsidRDefault="00F94CF5" w:rsidP="00F94CF5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UE is able to restart DMRS bundling after a semi-static event, if there are no precedent dynamic events and no overlapping dynamic events with the semi-static event within the nominal TDW. </w:t>
      </w:r>
    </w:p>
    <w:p w14:paraId="6227E634" w14:textId="77777777" w:rsidR="00F94CF5" w:rsidRPr="005922AE" w:rsidRDefault="00F94CF5" w:rsidP="00F94CF5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It’s subject to UE capability whether UE can restart DMRS bundling after a semi-static event, if there are precedent dynamic events or overlapping dynamic events with the semi-static event within the nominal TDW. </w:t>
      </w:r>
    </w:p>
    <w:p w14:paraId="2FB738CD" w14:textId="77777777" w:rsidR="00F94CF5" w:rsidRPr="005922AE" w:rsidRDefault="00F94CF5" w:rsidP="00F94CF5">
      <w:pPr>
        <w:numPr>
          <w:ilvl w:val="2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UE Cap 0: UE has no ability to restart DMRS bundling after a dynamic event, i.e., after a dynamic event occurs during a nominal TDW, UE does not restart DMRS bundling until the end of the nominal TDW. This </w:t>
      </w:r>
      <w:proofErr w:type="spellStart"/>
      <w:r w:rsidRPr="005922AE">
        <w:rPr>
          <w:rFonts w:ascii="Times New Roman" w:hAnsi="Times New Roman" w:cs="Times New Roman"/>
          <w:lang w:eastAsia="zh-CN"/>
        </w:rPr>
        <w:t>behaviour</w:t>
      </w:r>
      <w:proofErr w:type="spellEnd"/>
      <w:r w:rsidRPr="005922AE">
        <w:rPr>
          <w:rFonts w:ascii="Times New Roman" w:hAnsi="Times New Roman" w:cs="Times New Roman"/>
          <w:lang w:eastAsia="zh-CN"/>
        </w:rPr>
        <w:t xml:space="preserve"> applies even if semi-static events occur after or overlapping with the dynamic event within the nominal TDW.</w:t>
      </w:r>
    </w:p>
    <w:p w14:paraId="230AD722" w14:textId="77777777" w:rsidR="00F94CF5" w:rsidRPr="005922AE" w:rsidRDefault="00F94CF5" w:rsidP="00F94CF5">
      <w:pPr>
        <w:numPr>
          <w:ilvl w:val="2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>UE Cap 1: UE is always able to restart DMRS bundling after semi-static events. In case a dynamic event occurs during a nominal TDW, UE does not restart DMRS bundling until the next semi-static event (if any) before the end of the nominal TDW, and UE restarts DMRS bundling after the semi-static event.</w:t>
      </w:r>
    </w:p>
    <w:p w14:paraId="71EBF1D7" w14:textId="77777777" w:rsidR="00F94CF5" w:rsidRPr="005922AE" w:rsidRDefault="00F94CF5" w:rsidP="00F94CF5">
      <w:pPr>
        <w:numPr>
          <w:ilvl w:val="0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t xml:space="preserve">For UE capable of restarting DM-RS bundling in response to dynamic events subject to FG-4g, </w:t>
      </w:r>
    </w:p>
    <w:p w14:paraId="03A9B1AE" w14:textId="77777777" w:rsidR="00F94CF5" w:rsidRPr="005922AE" w:rsidRDefault="00F94CF5" w:rsidP="00F94CF5">
      <w:pPr>
        <w:numPr>
          <w:ilvl w:val="1"/>
          <w:numId w:val="40"/>
        </w:numPr>
        <w:jc w:val="both"/>
        <w:rPr>
          <w:rFonts w:ascii="Times New Roman" w:hAnsi="Times New Roman" w:cs="Times New Roman"/>
          <w:lang w:eastAsia="zh-CN"/>
        </w:rPr>
      </w:pPr>
      <w:r w:rsidRPr="005922AE">
        <w:rPr>
          <w:rFonts w:ascii="Times New Roman" w:hAnsi="Times New Roman" w:cs="Times New Roman"/>
          <w:lang w:eastAsia="zh-CN"/>
        </w:rPr>
        <w:lastRenderedPageBreak/>
        <w:t>UE Cap 2: UE has full ability to restart DMRS bundling, i.e., UE restarts DMRS bundling after any dynamic or semi-static events.</w:t>
      </w:r>
    </w:p>
    <w:p w14:paraId="5910446C" w14:textId="77777777" w:rsidR="00F00DDF" w:rsidRPr="005922AE" w:rsidRDefault="00F00DDF" w:rsidP="00F00DDF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t>Proposal 2</w:t>
      </w:r>
      <w:r w:rsidRPr="005922AE">
        <w:rPr>
          <w:rFonts w:ascii="Times New Roman" w:eastAsia="MS Mincho" w:hAnsi="Times New Roman" w:cs="Times New Roman"/>
        </w:rPr>
        <w:t>: Add the following constraint to 30-4h (non-back-to-back case):</w:t>
      </w:r>
    </w:p>
    <w:p w14:paraId="601DB834" w14:textId="5164E0AB" w:rsidR="00F00DDF" w:rsidRPr="005922AE" w:rsidRDefault="00F00DDF" w:rsidP="00F00DDF">
      <w:pPr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>“Note: This capability is only applicable when UE is configured with single uplink carrier.”</w:t>
      </w:r>
    </w:p>
    <w:p w14:paraId="04A4DD1A" w14:textId="77777777" w:rsidR="0070195B" w:rsidRPr="00740DAD" w:rsidRDefault="0070195B" w:rsidP="0070195B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t>Proposal 3</w:t>
      </w:r>
      <w:r w:rsidRPr="005922AE">
        <w:rPr>
          <w:rFonts w:ascii="Times New Roman" w:eastAsia="MS Mincho" w:hAnsi="Times New Roman" w:cs="Times New Roman"/>
        </w:rPr>
        <w:t xml:space="preserve">: </w:t>
      </w:r>
      <w:r w:rsidRPr="00740DAD">
        <w:rPr>
          <w:rFonts w:ascii="Times New Roman" w:eastAsia="MS Mincho" w:hAnsi="Times New Roman" w:cs="Times New Roman"/>
        </w:rPr>
        <w:t>Add the following constraints to UE cap</w:t>
      </w:r>
      <w:r w:rsidRPr="005922AE">
        <w:rPr>
          <w:rFonts w:ascii="Times New Roman" w:eastAsia="MS Mincho" w:hAnsi="Times New Roman" w:cs="Times New Roman"/>
        </w:rPr>
        <w:t>ability FGs</w:t>
      </w:r>
      <w:r w:rsidRPr="00740DAD">
        <w:rPr>
          <w:rFonts w:ascii="Times New Roman" w:eastAsia="MS Mincho" w:hAnsi="Times New Roman" w:cs="Times New Roman"/>
        </w:rPr>
        <w:t xml:space="preserve"> 30-4a, 4b, 4c, and 4d (the four back-to-back cases):</w:t>
      </w:r>
    </w:p>
    <w:p w14:paraId="43C2D4A9" w14:textId="77777777" w:rsidR="0070195B" w:rsidRPr="00740DAD" w:rsidRDefault="0070195B" w:rsidP="0070195B">
      <w:pPr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>“</w:t>
      </w:r>
      <w:r w:rsidRPr="00740DAD">
        <w:rPr>
          <w:rFonts w:ascii="Times New Roman" w:eastAsia="MS Mincho" w:hAnsi="Times New Roman" w:cs="Times New Roman"/>
        </w:rPr>
        <w:t>Note: This capability is applicable in the following multi-carrier scenarios:</w:t>
      </w:r>
    </w:p>
    <w:p w14:paraId="2465234D" w14:textId="77777777" w:rsidR="00740DAD" w:rsidRPr="00740DAD" w:rsidRDefault="005922AE" w:rsidP="0070195B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 xml:space="preserve">FR1+FR2 CA/DC with one band on FR1 and another band on FR2. </w:t>
      </w:r>
      <w:r w:rsidR="0070195B" w:rsidRPr="005922AE">
        <w:rPr>
          <w:rFonts w:ascii="Times New Roman" w:hAnsi="Times New Roman" w:cs="Times New Roman"/>
        </w:rPr>
        <w:t>DMRS bundling configuration is limited to one uplink NR carrier in total on all FRs at a time.</w:t>
      </w:r>
    </w:p>
    <w:p w14:paraId="5707F486" w14:textId="77777777" w:rsidR="00740DAD" w:rsidRPr="00740DAD" w:rsidRDefault="005922AE" w:rsidP="0070195B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 xml:space="preserve">SUL </w:t>
      </w:r>
    </w:p>
    <w:p w14:paraId="673C9151" w14:textId="77777777" w:rsidR="0070195B" w:rsidRPr="005922AE" w:rsidRDefault="005922AE" w:rsidP="0070195B">
      <w:pPr>
        <w:numPr>
          <w:ilvl w:val="0"/>
          <w:numId w:val="46"/>
        </w:numPr>
        <w:spacing w:after="0" w:line="240" w:lineRule="auto"/>
        <w:rPr>
          <w:rFonts w:ascii="Times New Roman" w:eastAsia="MS Mincho" w:hAnsi="Times New Roman" w:cs="Times New Roman"/>
        </w:rPr>
      </w:pPr>
      <w:r w:rsidRPr="00740DAD">
        <w:rPr>
          <w:rFonts w:ascii="Times New Roman" w:eastAsia="MS Mincho" w:hAnsi="Times New Roman" w:cs="Times New Roman"/>
        </w:rPr>
        <w:t>FR1+FR1 Inter-band CA</w:t>
      </w:r>
      <w:r w:rsidR="0070195B" w:rsidRPr="005922AE">
        <w:rPr>
          <w:rFonts w:ascii="Times New Roman" w:eastAsia="MS Mincho" w:hAnsi="Times New Roman" w:cs="Times New Roman"/>
        </w:rPr>
        <w:t>/DC</w:t>
      </w:r>
      <w:r w:rsidRPr="00740DAD">
        <w:rPr>
          <w:rFonts w:ascii="Times New Roman" w:eastAsia="MS Mincho" w:hAnsi="Times New Roman" w:cs="Times New Roman"/>
        </w:rPr>
        <w:t xml:space="preserve"> involving two or more FR1 bands where UE does not expect concurrent uplink transmissions on any two carriers</w:t>
      </w:r>
    </w:p>
    <w:p w14:paraId="199FCC0F" w14:textId="77777777" w:rsidR="00740DAD" w:rsidRPr="00740DAD" w:rsidRDefault="0070195B" w:rsidP="0070195B">
      <w:pPr>
        <w:spacing w:after="0" w:line="240" w:lineRule="auto"/>
        <w:ind w:left="360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</w:rPr>
        <w:t>All carriers must belong to a single TAG”</w:t>
      </w:r>
    </w:p>
    <w:p w14:paraId="260BCDF9" w14:textId="2DE998BC" w:rsidR="0070195B" w:rsidRPr="005922AE" w:rsidRDefault="0070195B" w:rsidP="00F00DDF">
      <w:pPr>
        <w:rPr>
          <w:rFonts w:ascii="Times New Roman" w:eastAsia="MS Mincho" w:hAnsi="Times New Roman" w:cs="Times New Roman"/>
        </w:rPr>
      </w:pPr>
    </w:p>
    <w:p w14:paraId="77ADFCF3" w14:textId="6E5A98A8" w:rsidR="0070195B" w:rsidRPr="005922AE" w:rsidRDefault="0070195B" w:rsidP="0070195B">
      <w:pPr>
        <w:jc w:val="both"/>
        <w:rPr>
          <w:rFonts w:ascii="Times New Roman" w:eastAsia="MS Mincho" w:hAnsi="Times New Roman" w:cs="Times New Roman"/>
        </w:rPr>
      </w:pPr>
      <w:r w:rsidRPr="005922AE">
        <w:rPr>
          <w:rFonts w:ascii="Times New Roman" w:eastAsia="MS Mincho" w:hAnsi="Times New Roman" w:cs="Times New Roman"/>
          <w:b/>
          <w:bCs/>
          <w:u w:val="single"/>
        </w:rPr>
        <w:t>Proposal 4</w:t>
      </w:r>
      <w:r w:rsidRPr="005922AE">
        <w:rPr>
          <w:rFonts w:ascii="Times New Roman" w:eastAsia="MS Mincho" w:hAnsi="Times New Roman" w:cs="Times New Roman"/>
        </w:rPr>
        <w:t xml:space="preserve">: </w:t>
      </w:r>
      <w:r w:rsidRPr="00740DAD">
        <w:rPr>
          <w:rFonts w:ascii="Times New Roman" w:eastAsia="MS Mincho" w:hAnsi="Times New Roman" w:cs="Times New Roman"/>
        </w:rPr>
        <w:t>UE cap</w:t>
      </w:r>
      <w:r w:rsidRPr="005922AE">
        <w:rPr>
          <w:rFonts w:ascii="Times New Roman" w:eastAsia="MS Mincho" w:hAnsi="Times New Roman" w:cs="Times New Roman"/>
        </w:rPr>
        <w:t>ability FGs</w:t>
      </w:r>
      <w:r w:rsidRPr="00740DAD">
        <w:rPr>
          <w:rFonts w:ascii="Times New Roman" w:eastAsia="MS Mincho" w:hAnsi="Times New Roman" w:cs="Times New Roman"/>
        </w:rPr>
        <w:t xml:space="preserve"> 30-4a, 4b, 4c, and 4d</w:t>
      </w:r>
      <w:r w:rsidRPr="005922AE">
        <w:rPr>
          <w:rFonts w:ascii="Times New Roman" w:eastAsia="MS Mincho" w:hAnsi="Times New Roman" w:cs="Times New Roman"/>
        </w:rPr>
        <w:t xml:space="preserve"> are signaled at per band and per band combination granularity</w:t>
      </w:r>
      <w:r w:rsidR="00ED5848">
        <w:rPr>
          <w:rFonts w:ascii="Times New Roman" w:eastAsia="MS Mincho" w:hAnsi="Times New Roman" w:cs="Times New Roman"/>
        </w:rPr>
        <w:t>.</w:t>
      </w:r>
    </w:p>
    <w:p w14:paraId="59A988E0" w14:textId="77777777" w:rsidR="00BE53BF" w:rsidRPr="005922AE" w:rsidRDefault="00BE53BF" w:rsidP="00CD736C">
      <w:pPr>
        <w:pStyle w:val="References"/>
        <w:numPr>
          <w:ilvl w:val="0"/>
          <w:numId w:val="0"/>
        </w:numPr>
        <w:snapToGrid/>
        <w:spacing w:after="80" w:line="256" w:lineRule="auto"/>
        <w:rPr>
          <w:rFonts w:ascii="Times New Roman" w:hAnsi="Times New Roman" w:cs="Times New Roman"/>
          <w:szCs w:val="22"/>
          <w:lang w:val="en-GB"/>
        </w:rPr>
      </w:pPr>
    </w:p>
    <w:p w14:paraId="10BBA84C" w14:textId="77777777" w:rsidR="005922AE" w:rsidRPr="005922AE" w:rsidRDefault="005922AE">
      <w:pPr>
        <w:pStyle w:val="References"/>
        <w:numPr>
          <w:ilvl w:val="0"/>
          <w:numId w:val="0"/>
        </w:numPr>
        <w:snapToGrid/>
        <w:spacing w:after="80" w:line="256" w:lineRule="auto"/>
        <w:rPr>
          <w:rFonts w:ascii="Times New Roman" w:hAnsi="Times New Roman" w:cs="Times New Roman"/>
          <w:szCs w:val="20"/>
          <w:lang w:val="en-GB"/>
        </w:rPr>
      </w:pPr>
    </w:p>
    <w:sectPr w:rsidR="005922AE" w:rsidRPr="005922AE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BFE34" w14:textId="77777777" w:rsidR="0020387B" w:rsidRDefault="0020387B">
      <w:r>
        <w:separator/>
      </w:r>
    </w:p>
  </w:endnote>
  <w:endnote w:type="continuationSeparator" w:id="0">
    <w:p w14:paraId="61C974F7" w14:textId="77777777" w:rsidR="0020387B" w:rsidRDefault="0020387B">
      <w:r>
        <w:continuationSeparator/>
      </w:r>
    </w:p>
  </w:endnote>
  <w:endnote w:type="continuationNotice" w:id="1">
    <w:p w14:paraId="7292FC0D" w14:textId="77777777" w:rsidR="0020387B" w:rsidRDefault="00203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2E07" w14:textId="77777777" w:rsidR="0020387B" w:rsidRDefault="0020387B">
      <w:r>
        <w:separator/>
      </w:r>
    </w:p>
  </w:footnote>
  <w:footnote w:type="continuationSeparator" w:id="0">
    <w:p w14:paraId="35A8A23E" w14:textId="77777777" w:rsidR="0020387B" w:rsidRDefault="0020387B">
      <w:r>
        <w:continuationSeparator/>
      </w:r>
    </w:p>
  </w:footnote>
  <w:footnote w:type="continuationNotice" w:id="1">
    <w:p w14:paraId="37FE044C" w14:textId="77777777" w:rsidR="0020387B" w:rsidRDefault="002038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17969"/>
    <w:multiLevelType w:val="hybridMultilevel"/>
    <w:tmpl w:val="2778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1E08"/>
    <w:multiLevelType w:val="hybridMultilevel"/>
    <w:tmpl w:val="B718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5FC"/>
    <w:multiLevelType w:val="hybridMultilevel"/>
    <w:tmpl w:val="09A43B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A44D33"/>
    <w:multiLevelType w:val="hybridMultilevel"/>
    <w:tmpl w:val="B0DA1916"/>
    <w:lvl w:ilvl="0" w:tplc="D700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64C9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8EC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0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ED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C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E9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4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CC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374E4E"/>
    <w:multiLevelType w:val="hybridMultilevel"/>
    <w:tmpl w:val="9296111A"/>
    <w:lvl w:ilvl="0" w:tplc="9712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45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3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4A06A9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294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5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46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E7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83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A520E3"/>
    <w:multiLevelType w:val="hybridMultilevel"/>
    <w:tmpl w:val="BE06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4B99"/>
    <w:multiLevelType w:val="multilevel"/>
    <w:tmpl w:val="124A4B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D1613"/>
    <w:multiLevelType w:val="hybridMultilevel"/>
    <w:tmpl w:val="1708D5FC"/>
    <w:lvl w:ilvl="0" w:tplc="C796406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9A157C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398A3E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0A44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BE248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CEF87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8E61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02CC6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64C84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5FE551C"/>
    <w:multiLevelType w:val="hybridMultilevel"/>
    <w:tmpl w:val="CCB004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1FBE6A72"/>
    <w:multiLevelType w:val="hybridMultilevel"/>
    <w:tmpl w:val="C5D0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56FAD"/>
    <w:multiLevelType w:val="hybridMultilevel"/>
    <w:tmpl w:val="86B662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64264B0"/>
    <w:multiLevelType w:val="hybridMultilevel"/>
    <w:tmpl w:val="10AAD0BA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 w15:restartNumberingAfterBreak="0">
    <w:nsid w:val="278A0BD6"/>
    <w:multiLevelType w:val="hybridMultilevel"/>
    <w:tmpl w:val="6710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90B31"/>
    <w:multiLevelType w:val="hybridMultilevel"/>
    <w:tmpl w:val="27B81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4698B"/>
    <w:multiLevelType w:val="hybridMultilevel"/>
    <w:tmpl w:val="E47C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F2D84"/>
    <w:multiLevelType w:val="hybridMultilevel"/>
    <w:tmpl w:val="C4B269FA"/>
    <w:lvl w:ilvl="0" w:tplc="14BCD8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65C9A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34C55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AB43C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5E0F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EBAC9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A6D7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AD6F5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94A07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A17F3E"/>
    <w:multiLevelType w:val="hybridMultilevel"/>
    <w:tmpl w:val="63DC882E"/>
    <w:lvl w:ilvl="0" w:tplc="DAA21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11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8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01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27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0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5CF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29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E9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6043E"/>
    <w:multiLevelType w:val="hybridMultilevel"/>
    <w:tmpl w:val="D578028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EF4A7C"/>
    <w:multiLevelType w:val="hybridMultilevel"/>
    <w:tmpl w:val="8036F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A6541"/>
    <w:multiLevelType w:val="hybridMultilevel"/>
    <w:tmpl w:val="5D24C350"/>
    <w:lvl w:ilvl="0" w:tplc="58564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6E0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DEF1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237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2409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741D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768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BE07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0B2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3793CD5"/>
    <w:multiLevelType w:val="hybridMultilevel"/>
    <w:tmpl w:val="09A43B2A"/>
    <w:lvl w:ilvl="0" w:tplc="D750C2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8D1478"/>
    <w:multiLevelType w:val="hybridMultilevel"/>
    <w:tmpl w:val="F3CA2C18"/>
    <w:lvl w:ilvl="0" w:tplc="E978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14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EA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0C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08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2D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2B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8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42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9A87888"/>
    <w:multiLevelType w:val="hybridMultilevel"/>
    <w:tmpl w:val="928A4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51D779E0"/>
    <w:multiLevelType w:val="hybridMultilevel"/>
    <w:tmpl w:val="C5468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33B54"/>
    <w:multiLevelType w:val="hybridMultilevel"/>
    <w:tmpl w:val="766C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ED741E"/>
    <w:multiLevelType w:val="hybridMultilevel"/>
    <w:tmpl w:val="01C434C4"/>
    <w:lvl w:ilvl="0" w:tplc="AE1AB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385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FA0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A8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52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7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D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AD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42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14287"/>
    <w:multiLevelType w:val="hybridMultilevel"/>
    <w:tmpl w:val="004A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54817"/>
    <w:multiLevelType w:val="hybridMultilevel"/>
    <w:tmpl w:val="25A2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F1215"/>
    <w:multiLevelType w:val="hybridMultilevel"/>
    <w:tmpl w:val="AFCE1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93F04"/>
    <w:multiLevelType w:val="hybridMultilevel"/>
    <w:tmpl w:val="6F660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C9017A"/>
    <w:multiLevelType w:val="multilevel"/>
    <w:tmpl w:val="96F4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2D2A73"/>
    <w:multiLevelType w:val="hybridMultilevel"/>
    <w:tmpl w:val="43FA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811DE"/>
    <w:multiLevelType w:val="hybridMultilevel"/>
    <w:tmpl w:val="2F32D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2072AC"/>
    <w:multiLevelType w:val="hybridMultilevel"/>
    <w:tmpl w:val="891E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90599"/>
    <w:multiLevelType w:val="multilevel"/>
    <w:tmpl w:val="7A9905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121023584">
    <w:abstractNumId w:val="19"/>
  </w:num>
  <w:num w:numId="2" w16cid:durableId="1550610732">
    <w:abstractNumId w:val="0"/>
  </w:num>
  <w:num w:numId="3" w16cid:durableId="247005647">
    <w:abstractNumId w:val="4"/>
  </w:num>
  <w:num w:numId="4" w16cid:durableId="1702053610">
    <w:abstractNumId w:val="22"/>
  </w:num>
  <w:num w:numId="5" w16cid:durableId="708066586">
    <w:abstractNumId w:val="30"/>
  </w:num>
  <w:num w:numId="6" w16cid:durableId="1341201162">
    <w:abstractNumId w:val="33"/>
  </w:num>
  <w:num w:numId="7" w16cid:durableId="1398825718">
    <w:abstractNumId w:val="2"/>
  </w:num>
  <w:num w:numId="8" w16cid:durableId="1791391719">
    <w:abstractNumId w:val="1"/>
  </w:num>
  <w:num w:numId="9" w16cid:durableId="1310287689">
    <w:abstractNumId w:val="41"/>
  </w:num>
  <w:num w:numId="10" w16cid:durableId="1343320418">
    <w:abstractNumId w:val="42"/>
  </w:num>
  <w:num w:numId="11" w16cid:durableId="454982513">
    <w:abstractNumId w:val="27"/>
  </w:num>
  <w:num w:numId="12" w16cid:durableId="1944144883">
    <w:abstractNumId w:val="27"/>
  </w:num>
  <w:num w:numId="13" w16cid:durableId="987979078">
    <w:abstractNumId w:val="17"/>
  </w:num>
  <w:num w:numId="14" w16cid:durableId="1733498477">
    <w:abstractNumId w:val="7"/>
  </w:num>
  <w:num w:numId="15" w16cid:durableId="1993365706">
    <w:abstractNumId w:val="11"/>
  </w:num>
  <w:num w:numId="16" w16cid:durableId="769741002">
    <w:abstractNumId w:val="6"/>
  </w:num>
  <w:num w:numId="17" w16cid:durableId="2000494130">
    <w:abstractNumId w:val="26"/>
  </w:num>
  <w:num w:numId="18" w16cid:durableId="944462620">
    <w:abstractNumId w:val="37"/>
  </w:num>
  <w:num w:numId="19" w16cid:durableId="1291471495">
    <w:abstractNumId w:val="10"/>
  </w:num>
  <w:num w:numId="20" w16cid:durableId="829709669">
    <w:abstractNumId w:val="32"/>
  </w:num>
  <w:num w:numId="21" w16cid:durableId="43873933">
    <w:abstractNumId w:val="40"/>
  </w:num>
  <w:num w:numId="22" w16cid:durableId="1804077449">
    <w:abstractNumId w:val="23"/>
  </w:num>
  <w:num w:numId="23" w16cid:durableId="232548798">
    <w:abstractNumId w:val="16"/>
  </w:num>
  <w:num w:numId="24" w16cid:durableId="849417884">
    <w:abstractNumId w:val="20"/>
  </w:num>
  <w:num w:numId="25" w16cid:durableId="874922469">
    <w:abstractNumId w:val="28"/>
  </w:num>
  <w:num w:numId="26" w16cid:durableId="1471437022">
    <w:abstractNumId w:val="5"/>
  </w:num>
  <w:num w:numId="27" w16cid:durableId="168523823">
    <w:abstractNumId w:val="18"/>
  </w:num>
  <w:num w:numId="28" w16cid:durableId="1211187394">
    <w:abstractNumId w:val="21"/>
  </w:num>
  <w:num w:numId="29" w16cid:durableId="254948166">
    <w:abstractNumId w:val="14"/>
  </w:num>
  <w:num w:numId="30" w16cid:durableId="1507476416">
    <w:abstractNumId w:val="29"/>
  </w:num>
  <w:num w:numId="31" w16cid:durableId="1894197884">
    <w:abstractNumId w:val="25"/>
  </w:num>
  <w:num w:numId="32" w16cid:durableId="435953929">
    <w:abstractNumId w:val="3"/>
  </w:num>
  <w:num w:numId="33" w16cid:durableId="96994786">
    <w:abstractNumId w:val="13"/>
  </w:num>
  <w:num w:numId="34" w16cid:durableId="1986202100">
    <w:abstractNumId w:val="31"/>
  </w:num>
  <w:num w:numId="35" w16cid:durableId="1811245973">
    <w:abstractNumId w:val="38"/>
  </w:num>
  <w:num w:numId="36" w16cid:durableId="1203978428">
    <w:abstractNumId w:val="36"/>
  </w:num>
  <w:num w:numId="37" w16cid:durableId="1110585305">
    <w:abstractNumId w:val="15"/>
  </w:num>
  <w:num w:numId="38" w16cid:durableId="657030738">
    <w:abstractNumId w:val="35"/>
  </w:num>
  <w:num w:numId="39" w16cid:durableId="1262568024">
    <w:abstractNumId w:val="34"/>
  </w:num>
  <w:num w:numId="40" w16cid:durableId="1789743017">
    <w:abstractNumId w:val="9"/>
  </w:num>
  <w:num w:numId="41" w16cid:durableId="1934044400">
    <w:abstractNumId w:val="44"/>
  </w:num>
  <w:num w:numId="42" w16cid:durableId="1712463127">
    <w:abstractNumId w:val="39"/>
  </w:num>
  <w:num w:numId="43" w16cid:durableId="435055961">
    <w:abstractNumId w:val="8"/>
  </w:num>
  <w:num w:numId="44" w16cid:durableId="1347170954">
    <w:abstractNumId w:val="43"/>
  </w:num>
  <w:num w:numId="45" w16cid:durableId="9914750">
    <w:abstractNumId w:val="12"/>
  </w:num>
  <w:num w:numId="46" w16cid:durableId="529030548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227"/>
    <w:rsid w:val="000037BF"/>
    <w:rsid w:val="000037FB"/>
    <w:rsid w:val="00003972"/>
    <w:rsid w:val="00003AD9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33F4"/>
    <w:rsid w:val="00023818"/>
    <w:rsid w:val="00023C29"/>
    <w:rsid w:val="000243AC"/>
    <w:rsid w:val="00024D64"/>
    <w:rsid w:val="00024E37"/>
    <w:rsid w:val="00024EC9"/>
    <w:rsid w:val="0002506A"/>
    <w:rsid w:val="0002524C"/>
    <w:rsid w:val="000255A1"/>
    <w:rsid w:val="000258DD"/>
    <w:rsid w:val="0002591B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6F8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6E7"/>
    <w:rsid w:val="00045837"/>
    <w:rsid w:val="00045A54"/>
    <w:rsid w:val="0004617E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D8B"/>
    <w:rsid w:val="00050335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4FC4"/>
    <w:rsid w:val="000751BE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6AFB"/>
    <w:rsid w:val="00077073"/>
    <w:rsid w:val="00077807"/>
    <w:rsid w:val="0007787D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3FEA"/>
    <w:rsid w:val="000942E8"/>
    <w:rsid w:val="0009437A"/>
    <w:rsid w:val="00094386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22B"/>
    <w:rsid w:val="0009653B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794"/>
    <w:rsid w:val="000A7C88"/>
    <w:rsid w:val="000A7EB5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950"/>
    <w:rsid w:val="000C133A"/>
    <w:rsid w:val="000C1545"/>
    <w:rsid w:val="000C182F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BEF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71D9"/>
    <w:rsid w:val="000C7523"/>
    <w:rsid w:val="000C7699"/>
    <w:rsid w:val="000C77EE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390"/>
    <w:rsid w:val="000E14B9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E3A"/>
    <w:rsid w:val="000E5ED0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DAB"/>
    <w:rsid w:val="000F34C7"/>
    <w:rsid w:val="000F3832"/>
    <w:rsid w:val="000F3B40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620"/>
    <w:rsid w:val="000F5725"/>
    <w:rsid w:val="000F5C36"/>
    <w:rsid w:val="000F5D23"/>
    <w:rsid w:val="000F5F0B"/>
    <w:rsid w:val="000F63F0"/>
    <w:rsid w:val="000F6799"/>
    <w:rsid w:val="000F6881"/>
    <w:rsid w:val="000F6C32"/>
    <w:rsid w:val="000F6D86"/>
    <w:rsid w:val="000F6EBC"/>
    <w:rsid w:val="000F74C2"/>
    <w:rsid w:val="000F77A3"/>
    <w:rsid w:val="000F7800"/>
    <w:rsid w:val="000F7CAD"/>
    <w:rsid w:val="000F7E22"/>
    <w:rsid w:val="00100097"/>
    <w:rsid w:val="001000E9"/>
    <w:rsid w:val="00100161"/>
    <w:rsid w:val="00100169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328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843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451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1EB"/>
    <w:rsid w:val="001A0303"/>
    <w:rsid w:val="001A0313"/>
    <w:rsid w:val="001A0676"/>
    <w:rsid w:val="001A067A"/>
    <w:rsid w:val="001A06C8"/>
    <w:rsid w:val="001A10A9"/>
    <w:rsid w:val="001A1337"/>
    <w:rsid w:val="001A14FB"/>
    <w:rsid w:val="001A1980"/>
    <w:rsid w:val="001A2096"/>
    <w:rsid w:val="001A22D5"/>
    <w:rsid w:val="001A2939"/>
    <w:rsid w:val="001A2FD5"/>
    <w:rsid w:val="001A3037"/>
    <w:rsid w:val="001A30FB"/>
    <w:rsid w:val="001A3134"/>
    <w:rsid w:val="001A32A3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D59"/>
    <w:rsid w:val="001A6DC2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2BE"/>
    <w:rsid w:val="001B0759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371"/>
    <w:rsid w:val="001B471D"/>
    <w:rsid w:val="001B5279"/>
    <w:rsid w:val="001B5332"/>
    <w:rsid w:val="001B54E9"/>
    <w:rsid w:val="001B55DE"/>
    <w:rsid w:val="001B5B14"/>
    <w:rsid w:val="001B6240"/>
    <w:rsid w:val="001B6351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87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21DC"/>
    <w:rsid w:val="001D2B3C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4CC"/>
    <w:rsid w:val="001E251E"/>
    <w:rsid w:val="001E266E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546"/>
    <w:rsid w:val="001F0BD6"/>
    <w:rsid w:val="001F0DDF"/>
    <w:rsid w:val="001F11F0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26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87B"/>
    <w:rsid w:val="00203A6E"/>
    <w:rsid w:val="00203B19"/>
    <w:rsid w:val="00203DF0"/>
    <w:rsid w:val="00203F00"/>
    <w:rsid w:val="00203F5C"/>
    <w:rsid w:val="0020400D"/>
    <w:rsid w:val="002047DE"/>
    <w:rsid w:val="00204981"/>
    <w:rsid w:val="00204A5A"/>
    <w:rsid w:val="00204C12"/>
    <w:rsid w:val="00204C44"/>
    <w:rsid w:val="00204C7B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2E5B"/>
    <w:rsid w:val="002130BD"/>
    <w:rsid w:val="002131FD"/>
    <w:rsid w:val="00213851"/>
    <w:rsid w:val="002147F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BCB"/>
    <w:rsid w:val="00236CAD"/>
    <w:rsid w:val="00236F71"/>
    <w:rsid w:val="002373FC"/>
    <w:rsid w:val="00237C6F"/>
    <w:rsid w:val="00237D22"/>
    <w:rsid w:val="00237F1D"/>
    <w:rsid w:val="0024029F"/>
    <w:rsid w:val="00240487"/>
    <w:rsid w:val="0024090D"/>
    <w:rsid w:val="00240956"/>
    <w:rsid w:val="00240B7D"/>
    <w:rsid w:val="00240C63"/>
    <w:rsid w:val="00240F65"/>
    <w:rsid w:val="0024103F"/>
    <w:rsid w:val="0024104B"/>
    <w:rsid w:val="002411D5"/>
    <w:rsid w:val="00241433"/>
    <w:rsid w:val="002416A2"/>
    <w:rsid w:val="00241BEE"/>
    <w:rsid w:val="00241C7B"/>
    <w:rsid w:val="00241D56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7D1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B1D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3B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E45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85A"/>
    <w:rsid w:val="00287C28"/>
    <w:rsid w:val="00287C39"/>
    <w:rsid w:val="00287EAF"/>
    <w:rsid w:val="00290254"/>
    <w:rsid w:val="002908D2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689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982"/>
    <w:rsid w:val="002B59EE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C9"/>
    <w:rsid w:val="002B7386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85E"/>
    <w:rsid w:val="002C1B17"/>
    <w:rsid w:val="002C203A"/>
    <w:rsid w:val="002C2AE9"/>
    <w:rsid w:val="002C2B29"/>
    <w:rsid w:val="002C2CE6"/>
    <w:rsid w:val="002C2E8A"/>
    <w:rsid w:val="002C2FCD"/>
    <w:rsid w:val="002C3A4E"/>
    <w:rsid w:val="002C3AE4"/>
    <w:rsid w:val="002C3E89"/>
    <w:rsid w:val="002C42AA"/>
    <w:rsid w:val="002C44EC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B03"/>
    <w:rsid w:val="002C7B0D"/>
    <w:rsid w:val="002C7EA4"/>
    <w:rsid w:val="002C7EBB"/>
    <w:rsid w:val="002D001A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75C"/>
    <w:rsid w:val="002D28A9"/>
    <w:rsid w:val="002D2B4E"/>
    <w:rsid w:val="002D305F"/>
    <w:rsid w:val="002D30CC"/>
    <w:rsid w:val="002D35DD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E008F"/>
    <w:rsid w:val="002E079D"/>
    <w:rsid w:val="002E0AC5"/>
    <w:rsid w:val="002E0DB5"/>
    <w:rsid w:val="002E0E94"/>
    <w:rsid w:val="002E1295"/>
    <w:rsid w:val="002E12E7"/>
    <w:rsid w:val="002E14D2"/>
    <w:rsid w:val="002E15A5"/>
    <w:rsid w:val="002E16BC"/>
    <w:rsid w:val="002E19AD"/>
    <w:rsid w:val="002E1A7B"/>
    <w:rsid w:val="002E1F0A"/>
    <w:rsid w:val="002E239F"/>
    <w:rsid w:val="002E25D2"/>
    <w:rsid w:val="002E2738"/>
    <w:rsid w:val="002E2923"/>
    <w:rsid w:val="002E2A76"/>
    <w:rsid w:val="002E306D"/>
    <w:rsid w:val="002E3631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4F7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3D1"/>
    <w:rsid w:val="002F5422"/>
    <w:rsid w:val="002F5634"/>
    <w:rsid w:val="002F566C"/>
    <w:rsid w:val="002F5874"/>
    <w:rsid w:val="002F5881"/>
    <w:rsid w:val="002F5A7C"/>
    <w:rsid w:val="002F5FDA"/>
    <w:rsid w:val="002F63ED"/>
    <w:rsid w:val="002F64D9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586C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1B11"/>
    <w:rsid w:val="0031205E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92"/>
    <w:rsid w:val="00314CBB"/>
    <w:rsid w:val="00314FAE"/>
    <w:rsid w:val="00315614"/>
    <w:rsid w:val="0031599D"/>
    <w:rsid w:val="00315B5E"/>
    <w:rsid w:val="00315C8E"/>
    <w:rsid w:val="00315F37"/>
    <w:rsid w:val="00316064"/>
    <w:rsid w:val="00316484"/>
    <w:rsid w:val="00316A1A"/>
    <w:rsid w:val="00316B5B"/>
    <w:rsid w:val="00316C58"/>
    <w:rsid w:val="00316C89"/>
    <w:rsid w:val="00316D2D"/>
    <w:rsid w:val="00316EAE"/>
    <w:rsid w:val="00317050"/>
    <w:rsid w:val="0031753A"/>
    <w:rsid w:val="00317625"/>
    <w:rsid w:val="0031767A"/>
    <w:rsid w:val="00317731"/>
    <w:rsid w:val="00317781"/>
    <w:rsid w:val="00317C5E"/>
    <w:rsid w:val="0032013F"/>
    <w:rsid w:val="0032018E"/>
    <w:rsid w:val="00320844"/>
    <w:rsid w:val="00320B1B"/>
    <w:rsid w:val="00320C3F"/>
    <w:rsid w:val="00320F1B"/>
    <w:rsid w:val="003210B1"/>
    <w:rsid w:val="0032135E"/>
    <w:rsid w:val="0032151E"/>
    <w:rsid w:val="0032172E"/>
    <w:rsid w:val="00321822"/>
    <w:rsid w:val="00321B02"/>
    <w:rsid w:val="00321C7E"/>
    <w:rsid w:val="003225F8"/>
    <w:rsid w:val="0032267B"/>
    <w:rsid w:val="003228CE"/>
    <w:rsid w:val="00322BC3"/>
    <w:rsid w:val="00322C2B"/>
    <w:rsid w:val="00322E3B"/>
    <w:rsid w:val="00323013"/>
    <w:rsid w:val="003232E3"/>
    <w:rsid w:val="00323FAD"/>
    <w:rsid w:val="00324089"/>
    <w:rsid w:val="003242B1"/>
    <w:rsid w:val="003244C7"/>
    <w:rsid w:val="0032463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1A5"/>
    <w:rsid w:val="00331A72"/>
    <w:rsid w:val="00331BC6"/>
    <w:rsid w:val="00332123"/>
    <w:rsid w:val="003321C3"/>
    <w:rsid w:val="00332962"/>
    <w:rsid w:val="00332BF1"/>
    <w:rsid w:val="00332D18"/>
    <w:rsid w:val="00332D21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848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706"/>
    <w:rsid w:val="00341991"/>
    <w:rsid w:val="00341CFA"/>
    <w:rsid w:val="003420B4"/>
    <w:rsid w:val="00342271"/>
    <w:rsid w:val="0034246D"/>
    <w:rsid w:val="00342528"/>
    <w:rsid w:val="0034288B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E6B"/>
    <w:rsid w:val="0034511B"/>
    <w:rsid w:val="00345BFC"/>
    <w:rsid w:val="00345D09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5EB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1F68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C6"/>
    <w:rsid w:val="003539B2"/>
    <w:rsid w:val="00353A7B"/>
    <w:rsid w:val="0035414B"/>
    <w:rsid w:val="003541E6"/>
    <w:rsid w:val="0035429A"/>
    <w:rsid w:val="00354DF1"/>
    <w:rsid w:val="00354FE6"/>
    <w:rsid w:val="003550B2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ED0"/>
    <w:rsid w:val="00375FFC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37"/>
    <w:rsid w:val="0039041D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499"/>
    <w:rsid w:val="003976DD"/>
    <w:rsid w:val="003978B8"/>
    <w:rsid w:val="00397AD4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7F4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DC5"/>
    <w:rsid w:val="003C009A"/>
    <w:rsid w:val="003C03B0"/>
    <w:rsid w:val="003C04C2"/>
    <w:rsid w:val="003C07D7"/>
    <w:rsid w:val="003C0985"/>
    <w:rsid w:val="003C09EB"/>
    <w:rsid w:val="003C0D5D"/>
    <w:rsid w:val="003C10B8"/>
    <w:rsid w:val="003C182B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F11"/>
    <w:rsid w:val="003D22AC"/>
    <w:rsid w:val="003D2339"/>
    <w:rsid w:val="003D26AA"/>
    <w:rsid w:val="003D2AF9"/>
    <w:rsid w:val="003D2D07"/>
    <w:rsid w:val="003D2E43"/>
    <w:rsid w:val="003D31C8"/>
    <w:rsid w:val="003D373A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660"/>
    <w:rsid w:val="003E5963"/>
    <w:rsid w:val="003E5BB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B43"/>
    <w:rsid w:val="00404D4D"/>
    <w:rsid w:val="00404D6D"/>
    <w:rsid w:val="00405578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F76"/>
    <w:rsid w:val="00413FED"/>
    <w:rsid w:val="0041425E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F3"/>
    <w:rsid w:val="004213C2"/>
    <w:rsid w:val="004213E8"/>
    <w:rsid w:val="0042156E"/>
    <w:rsid w:val="004219D3"/>
    <w:rsid w:val="004221F9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87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CE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382"/>
    <w:rsid w:val="00464942"/>
    <w:rsid w:val="00464A82"/>
    <w:rsid w:val="00464C68"/>
    <w:rsid w:val="00464EE0"/>
    <w:rsid w:val="00465180"/>
    <w:rsid w:val="00465235"/>
    <w:rsid w:val="00465467"/>
    <w:rsid w:val="00465573"/>
    <w:rsid w:val="004658E1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41E"/>
    <w:rsid w:val="00470628"/>
    <w:rsid w:val="00470750"/>
    <w:rsid w:val="00470893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D07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608E"/>
    <w:rsid w:val="004961DB"/>
    <w:rsid w:val="0049653E"/>
    <w:rsid w:val="004965BE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346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5AF"/>
    <w:rsid w:val="004D76A4"/>
    <w:rsid w:val="004D76C0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4E7"/>
    <w:rsid w:val="004F359A"/>
    <w:rsid w:val="004F3A2D"/>
    <w:rsid w:val="004F3C55"/>
    <w:rsid w:val="004F3DD1"/>
    <w:rsid w:val="004F40DE"/>
    <w:rsid w:val="004F4208"/>
    <w:rsid w:val="004F4B21"/>
    <w:rsid w:val="004F4E53"/>
    <w:rsid w:val="004F507C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032"/>
    <w:rsid w:val="005033EE"/>
    <w:rsid w:val="0050377B"/>
    <w:rsid w:val="005037DF"/>
    <w:rsid w:val="005038A7"/>
    <w:rsid w:val="0050398B"/>
    <w:rsid w:val="00503F74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4B"/>
    <w:rsid w:val="005147E7"/>
    <w:rsid w:val="005149A2"/>
    <w:rsid w:val="00514B2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04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F71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27B6D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B99"/>
    <w:rsid w:val="00535F5B"/>
    <w:rsid w:val="00536065"/>
    <w:rsid w:val="00536066"/>
    <w:rsid w:val="00536AEE"/>
    <w:rsid w:val="00536D47"/>
    <w:rsid w:val="00537092"/>
    <w:rsid w:val="00537640"/>
    <w:rsid w:val="0053773C"/>
    <w:rsid w:val="00537989"/>
    <w:rsid w:val="00537BE9"/>
    <w:rsid w:val="00540055"/>
    <w:rsid w:val="00540147"/>
    <w:rsid w:val="0054027A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55"/>
    <w:rsid w:val="00553ABB"/>
    <w:rsid w:val="00553BD9"/>
    <w:rsid w:val="00553C99"/>
    <w:rsid w:val="00553D14"/>
    <w:rsid w:val="0055410A"/>
    <w:rsid w:val="005546A4"/>
    <w:rsid w:val="005547CB"/>
    <w:rsid w:val="00554DF7"/>
    <w:rsid w:val="005552B9"/>
    <w:rsid w:val="00555520"/>
    <w:rsid w:val="00555602"/>
    <w:rsid w:val="00555713"/>
    <w:rsid w:val="00555772"/>
    <w:rsid w:val="00555875"/>
    <w:rsid w:val="00555D6F"/>
    <w:rsid w:val="00555E91"/>
    <w:rsid w:val="00556680"/>
    <w:rsid w:val="005567BF"/>
    <w:rsid w:val="005569D2"/>
    <w:rsid w:val="00556A3B"/>
    <w:rsid w:val="0055709F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9D5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47A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F6"/>
    <w:rsid w:val="00591400"/>
    <w:rsid w:val="005915A5"/>
    <w:rsid w:val="00591B9C"/>
    <w:rsid w:val="00592160"/>
    <w:rsid w:val="005922AE"/>
    <w:rsid w:val="005923C9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F5C"/>
    <w:rsid w:val="0059610F"/>
    <w:rsid w:val="00596308"/>
    <w:rsid w:val="005966D6"/>
    <w:rsid w:val="00596774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320D"/>
    <w:rsid w:val="005A36DF"/>
    <w:rsid w:val="005A36E3"/>
    <w:rsid w:val="005A386D"/>
    <w:rsid w:val="005A3A31"/>
    <w:rsid w:val="005A3B21"/>
    <w:rsid w:val="005A3B41"/>
    <w:rsid w:val="005A416C"/>
    <w:rsid w:val="005A4A53"/>
    <w:rsid w:val="005A4B5B"/>
    <w:rsid w:val="005A4BB0"/>
    <w:rsid w:val="005A4E93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0E82"/>
    <w:rsid w:val="005C1005"/>
    <w:rsid w:val="005C10E4"/>
    <w:rsid w:val="005C1225"/>
    <w:rsid w:val="005C132F"/>
    <w:rsid w:val="005C1752"/>
    <w:rsid w:val="005C1BF2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6F41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82C"/>
    <w:rsid w:val="005D2A49"/>
    <w:rsid w:val="005D2B5C"/>
    <w:rsid w:val="005D2B61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11A"/>
    <w:rsid w:val="005D42E6"/>
    <w:rsid w:val="005D46E9"/>
    <w:rsid w:val="005D4703"/>
    <w:rsid w:val="005D4F0B"/>
    <w:rsid w:val="005D4F30"/>
    <w:rsid w:val="005D5012"/>
    <w:rsid w:val="005D5534"/>
    <w:rsid w:val="005D5AA0"/>
    <w:rsid w:val="005D5E0B"/>
    <w:rsid w:val="005D5E46"/>
    <w:rsid w:val="005D5E87"/>
    <w:rsid w:val="005D609E"/>
    <w:rsid w:val="005D64A5"/>
    <w:rsid w:val="005D67A6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2D62"/>
    <w:rsid w:val="005E3035"/>
    <w:rsid w:val="005E35FD"/>
    <w:rsid w:val="005E36BA"/>
    <w:rsid w:val="005E383F"/>
    <w:rsid w:val="005E3B77"/>
    <w:rsid w:val="005E3B97"/>
    <w:rsid w:val="005E412D"/>
    <w:rsid w:val="005E414B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BFE"/>
    <w:rsid w:val="005E5DFD"/>
    <w:rsid w:val="005E5E44"/>
    <w:rsid w:val="005E5E74"/>
    <w:rsid w:val="005E61A8"/>
    <w:rsid w:val="005E66F1"/>
    <w:rsid w:val="005E6AFB"/>
    <w:rsid w:val="005E6D98"/>
    <w:rsid w:val="005E7023"/>
    <w:rsid w:val="005E749A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24E"/>
    <w:rsid w:val="005F15D5"/>
    <w:rsid w:val="005F1CD7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5AA"/>
    <w:rsid w:val="005F5793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07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8"/>
    <w:rsid w:val="00602A99"/>
    <w:rsid w:val="00602AD6"/>
    <w:rsid w:val="00602CA9"/>
    <w:rsid w:val="0060305B"/>
    <w:rsid w:val="00603816"/>
    <w:rsid w:val="006039C5"/>
    <w:rsid w:val="00603B1B"/>
    <w:rsid w:val="00603D08"/>
    <w:rsid w:val="00603DA7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C25"/>
    <w:rsid w:val="00626E64"/>
    <w:rsid w:val="0062704B"/>
    <w:rsid w:val="00627144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6A5"/>
    <w:rsid w:val="00631826"/>
    <w:rsid w:val="00631D0E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8B"/>
    <w:rsid w:val="006353D0"/>
    <w:rsid w:val="00635E27"/>
    <w:rsid w:val="00635ED9"/>
    <w:rsid w:val="00635EDC"/>
    <w:rsid w:val="00635F56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367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7A7"/>
    <w:rsid w:val="00647914"/>
    <w:rsid w:val="00647AC0"/>
    <w:rsid w:val="00647C88"/>
    <w:rsid w:val="00647CB3"/>
    <w:rsid w:val="00650150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016"/>
    <w:rsid w:val="006605DC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06"/>
    <w:rsid w:val="00663DA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67CF8"/>
    <w:rsid w:val="00667E84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8E5"/>
    <w:rsid w:val="00675A3D"/>
    <w:rsid w:val="00675ECB"/>
    <w:rsid w:val="00676084"/>
    <w:rsid w:val="006762CA"/>
    <w:rsid w:val="0067649C"/>
    <w:rsid w:val="0067652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9A4"/>
    <w:rsid w:val="00686A14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CC5"/>
    <w:rsid w:val="00691EE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044"/>
    <w:rsid w:val="006B44D1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A36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403"/>
    <w:rsid w:val="006E28DB"/>
    <w:rsid w:val="006E2DDD"/>
    <w:rsid w:val="006E32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46D"/>
    <w:rsid w:val="006F557B"/>
    <w:rsid w:val="006F567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24B"/>
    <w:rsid w:val="007017EA"/>
    <w:rsid w:val="0070181F"/>
    <w:rsid w:val="0070193E"/>
    <w:rsid w:val="0070195B"/>
    <w:rsid w:val="00701986"/>
    <w:rsid w:val="00701AD0"/>
    <w:rsid w:val="00701B27"/>
    <w:rsid w:val="00701F97"/>
    <w:rsid w:val="00702974"/>
    <w:rsid w:val="007029C4"/>
    <w:rsid w:val="00702D59"/>
    <w:rsid w:val="007032E5"/>
    <w:rsid w:val="007032E6"/>
    <w:rsid w:val="007036E5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4E79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1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3A2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1AB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50F7"/>
    <w:rsid w:val="007351F6"/>
    <w:rsid w:val="0073532A"/>
    <w:rsid w:val="007359BD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8E8"/>
    <w:rsid w:val="00753D66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83"/>
    <w:rsid w:val="00757FE8"/>
    <w:rsid w:val="00760010"/>
    <w:rsid w:val="007600CF"/>
    <w:rsid w:val="0076015A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741"/>
    <w:rsid w:val="0076182B"/>
    <w:rsid w:val="007619FB"/>
    <w:rsid w:val="00761A37"/>
    <w:rsid w:val="00761CCF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69"/>
    <w:rsid w:val="0077347F"/>
    <w:rsid w:val="007739C9"/>
    <w:rsid w:val="00773EC7"/>
    <w:rsid w:val="0077407A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1EA9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638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3E7"/>
    <w:rsid w:val="007954AC"/>
    <w:rsid w:val="00795804"/>
    <w:rsid w:val="00795809"/>
    <w:rsid w:val="00795862"/>
    <w:rsid w:val="007958D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036"/>
    <w:rsid w:val="00797186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AC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3EC4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5EA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D18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1C5"/>
    <w:rsid w:val="007E42F2"/>
    <w:rsid w:val="007E4803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8C0"/>
    <w:rsid w:val="007F1C9A"/>
    <w:rsid w:val="007F20A9"/>
    <w:rsid w:val="007F21F8"/>
    <w:rsid w:val="007F2477"/>
    <w:rsid w:val="007F2A0C"/>
    <w:rsid w:val="007F2DBB"/>
    <w:rsid w:val="007F2ED4"/>
    <w:rsid w:val="007F339E"/>
    <w:rsid w:val="007F34E1"/>
    <w:rsid w:val="007F387E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6EF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933"/>
    <w:rsid w:val="00810B00"/>
    <w:rsid w:val="00810DE9"/>
    <w:rsid w:val="00810EAE"/>
    <w:rsid w:val="00811036"/>
    <w:rsid w:val="008111DB"/>
    <w:rsid w:val="00811A86"/>
    <w:rsid w:val="00811CA6"/>
    <w:rsid w:val="00812027"/>
    <w:rsid w:val="00812141"/>
    <w:rsid w:val="008123D5"/>
    <w:rsid w:val="008124FE"/>
    <w:rsid w:val="008127B0"/>
    <w:rsid w:val="00812A11"/>
    <w:rsid w:val="00812FE3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1D6"/>
    <w:rsid w:val="00823335"/>
    <w:rsid w:val="008235E4"/>
    <w:rsid w:val="008236AE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AE7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65D"/>
    <w:rsid w:val="0083179C"/>
    <w:rsid w:val="00832142"/>
    <w:rsid w:val="00832236"/>
    <w:rsid w:val="008325FC"/>
    <w:rsid w:val="00832757"/>
    <w:rsid w:val="008327CF"/>
    <w:rsid w:val="00832C05"/>
    <w:rsid w:val="00832C18"/>
    <w:rsid w:val="00832CAF"/>
    <w:rsid w:val="00832EFC"/>
    <w:rsid w:val="0083311A"/>
    <w:rsid w:val="0083372E"/>
    <w:rsid w:val="00834178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F1B"/>
    <w:rsid w:val="00836133"/>
    <w:rsid w:val="008362A3"/>
    <w:rsid w:val="0083657B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1DA"/>
    <w:rsid w:val="00841573"/>
    <w:rsid w:val="008419A1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53F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DA8"/>
    <w:rsid w:val="00852302"/>
    <w:rsid w:val="00852338"/>
    <w:rsid w:val="0085249E"/>
    <w:rsid w:val="008528CC"/>
    <w:rsid w:val="00852AA6"/>
    <w:rsid w:val="00853154"/>
    <w:rsid w:val="00853296"/>
    <w:rsid w:val="00853C45"/>
    <w:rsid w:val="00854090"/>
    <w:rsid w:val="008540C8"/>
    <w:rsid w:val="0085412F"/>
    <w:rsid w:val="00854174"/>
    <w:rsid w:val="0085429E"/>
    <w:rsid w:val="0085483A"/>
    <w:rsid w:val="00854983"/>
    <w:rsid w:val="00854A91"/>
    <w:rsid w:val="00854C62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6EA0"/>
    <w:rsid w:val="00857069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BA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668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176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522B"/>
    <w:rsid w:val="00895243"/>
    <w:rsid w:val="00895286"/>
    <w:rsid w:val="00895A0C"/>
    <w:rsid w:val="00895E21"/>
    <w:rsid w:val="008961A5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88D"/>
    <w:rsid w:val="008A59E9"/>
    <w:rsid w:val="008A5CBE"/>
    <w:rsid w:val="008A5D63"/>
    <w:rsid w:val="008A5E9C"/>
    <w:rsid w:val="008A62D3"/>
    <w:rsid w:val="008A631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5B"/>
    <w:rsid w:val="008B2DEB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660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17B"/>
    <w:rsid w:val="008C0581"/>
    <w:rsid w:val="008C0742"/>
    <w:rsid w:val="008C112E"/>
    <w:rsid w:val="008C1161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33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8D8"/>
    <w:rsid w:val="008D399A"/>
    <w:rsid w:val="008D4318"/>
    <w:rsid w:val="008D453F"/>
    <w:rsid w:val="008D47A9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6F94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28E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3A7"/>
    <w:rsid w:val="008E5412"/>
    <w:rsid w:val="008E54C0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AF8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6"/>
    <w:rsid w:val="008F27D8"/>
    <w:rsid w:val="008F2A8C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6A1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5F4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98B"/>
    <w:rsid w:val="009269EB"/>
    <w:rsid w:val="009270D4"/>
    <w:rsid w:val="0092745D"/>
    <w:rsid w:val="00927522"/>
    <w:rsid w:val="009277AA"/>
    <w:rsid w:val="0092784B"/>
    <w:rsid w:val="0092793C"/>
    <w:rsid w:val="009279AF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7B3"/>
    <w:rsid w:val="0093188C"/>
    <w:rsid w:val="00931B00"/>
    <w:rsid w:val="00931DF8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B51"/>
    <w:rsid w:val="00933D61"/>
    <w:rsid w:val="00933DE4"/>
    <w:rsid w:val="00934044"/>
    <w:rsid w:val="009340DA"/>
    <w:rsid w:val="009345CD"/>
    <w:rsid w:val="0093470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4A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EC9"/>
    <w:rsid w:val="009421B3"/>
    <w:rsid w:val="00942BB8"/>
    <w:rsid w:val="00942E21"/>
    <w:rsid w:val="00942EF9"/>
    <w:rsid w:val="009430E9"/>
    <w:rsid w:val="0094335F"/>
    <w:rsid w:val="0094376F"/>
    <w:rsid w:val="00943997"/>
    <w:rsid w:val="00943F3E"/>
    <w:rsid w:val="00944202"/>
    <w:rsid w:val="00944335"/>
    <w:rsid w:val="009443A2"/>
    <w:rsid w:val="009445A7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E1F"/>
    <w:rsid w:val="00963099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240"/>
    <w:rsid w:val="009654F0"/>
    <w:rsid w:val="00965790"/>
    <w:rsid w:val="00965797"/>
    <w:rsid w:val="009659EA"/>
    <w:rsid w:val="0096691D"/>
    <w:rsid w:val="00966EC4"/>
    <w:rsid w:val="0096722C"/>
    <w:rsid w:val="0096766C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11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07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001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A3A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6EE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76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A94"/>
    <w:rsid w:val="009F2AAF"/>
    <w:rsid w:val="009F2B6E"/>
    <w:rsid w:val="009F2E7E"/>
    <w:rsid w:val="009F3554"/>
    <w:rsid w:val="009F3593"/>
    <w:rsid w:val="009F35A3"/>
    <w:rsid w:val="009F39E2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883"/>
    <w:rsid w:val="009F79BE"/>
    <w:rsid w:val="009F7B5F"/>
    <w:rsid w:val="009F7DA7"/>
    <w:rsid w:val="00A0018E"/>
    <w:rsid w:val="00A006E2"/>
    <w:rsid w:val="00A00944"/>
    <w:rsid w:val="00A00B60"/>
    <w:rsid w:val="00A00BA0"/>
    <w:rsid w:val="00A00CBF"/>
    <w:rsid w:val="00A01006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0E1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6F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6E2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EDB"/>
    <w:rsid w:val="00A5318E"/>
    <w:rsid w:val="00A53204"/>
    <w:rsid w:val="00A532E0"/>
    <w:rsid w:val="00A53CA9"/>
    <w:rsid w:val="00A5432D"/>
    <w:rsid w:val="00A5452C"/>
    <w:rsid w:val="00A545AC"/>
    <w:rsid w:val="00A547DF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0DD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67ECE"/>
    <w:rsid w:val="00A70A35"/>
    <w:rsid w:val="00A70B5C"/>
    <w:rsid w:val="00A70BFE"/>
    <w:rsid w:val="00A7141F"/>
    <w:rsid w:val="00A716A1"/>
    <w:rsid w:val="00A71A55"/>
    <w:rsid w:val="00A71D6B"/>
    <w:rsid w:val="00A71F00"/>
    <w:rsid w:val="00A724D7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2125"/>
    <w:rsid w:val="00A8221B"/>
    <w:rsid w:val="00A82508"/>
    <w:rsid w:val="00A82847"/>
    <w:rsid w:val="00A82C1E"/>
    <w:rsid w:val="00A82DFD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D66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581"/>
    <w:rsid w:val="00AA42FC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8A9"/>
    <w:rsid w:val="00AB0A16"/>
    <w:rsid w:val="00AB0ADE"/>
    <w:rsid w:val="00AB0B59"/>
    <w:rsid w:val="00AB0CA0"/>
    <w:rsid w:val="00AB102D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9B1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7F2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84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39"/>
    <w:rsid w:val="00AE3AF4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5B7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444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5D4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3E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A5D"/>
    <w:rsid w:val="00B15AC8"/>
    <w:rsid w:val="00B15E7C"/>
    <w:rsid w:val="00B1680F"/>
    <w:rsid w:val="00B16815"/>
    <w:rsid w:val="00B16B5F"/>
    <w:rsid w:val="00B16D08"/>
    <w:rsid w:val="00B17022"/>
    <w:rsid w:val="00B1736C"/>
    <w:rsid w:val="00B1747E"/>
    <w:rsid w:val="00B17508"/>
    <w:rsid w:val="00B1774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9D"/>
    <w:rsid w:val="00B21CA7"/>
    <w:rsid w:val="00B21EF2"/>
    <w:rsid w:val="00B22472"/>
    <w:rsid w:val="00B22744"/>
    <w:rsid w:val="00B22BF6"/>
    <w:rsid w:val="00B22CE7"/>
    <w:rsid w:val="00B2318D"/>
    <w:rsid w:val="00B232CB"/>
    <w:rsid w:val="00B233A9"/>
    <w:rsid w:val="00B239CC"/>
    <w:rsid w:val="00B23C57"/>
    <w:rsid w:val="00B23CA0"/>
    <w:rsid w:val="00B23D1C"/>
    <w:rsid w:val="00B23E2E"/>
    <w:rsid w:val="00B241ED"/>
    <w:rsid w:val="00B24537"/>
    <w:rsid w:val="00B246D2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523E"/>
    <w:rsid w:val="00B35353"/>
    <w:rsid w:val="00B3539A"/>
    <w:rsid w:val="00B354CD"/>
    <w:rsid w:val="00B35CB3"/>
    <w:rsid w:val="00B35F8E"/>
    <w:rsid w:val="00B35FAF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01"/>
    <w:rsid w:val="00B412CB"/>
    <w:rsid w:val="00B416D8"/>
    <w:rsid w:val="00B41B34"/>
    <w:rsid w:val="00B41D8E"/>
    <w:rsid w:val="00B425D3"/>
    <w:rsid w:val="00B42879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54"/>
    <w:rsid w:val="00B44342"/>
    <w:rsid w:val="00B443C5"/>
    <w:rsid w:val="00B4485B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545"/>
    <w:rsid w:val="00B63870"/>
    <w:rsid w:val="00B639E9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5152"/>
    <w:rsid w:val="00B6515C"/>
    <w:rsid w:val="00B652B0"/>
    <w:rsid w:val="00B654CB"/>
    <w:rsid w:val="00B65771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95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781"/>
    <w:rsid w:val="00B85837"/>
    <w:rsid w:val="00B85F67"/>
    <w:rsid w:val="00B862C5"/>
    <w:rsid w:val="00B86315"/>
    <w:rsid w:val="00B86557"/>
    <w:rsid w:val="00B86991"/>
    <w:rsid w:val="00B86D87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641"/>
    <w:rsid w:val="00B926E0"/>
    <w:rsid w:val="00B92881"/>
    <w:rsid w:val="00B92AD4"/>
    <w:rsid w:val="00B92BF1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22"/>
    <w:rsid w:val="00BA54FB"/>
    <w:rsid w:val="00BA5A25"/>
    <w:rsid w:val="00BA5A66"/>
    <w:rsid w:val="00BA5BE2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690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ECA"/>
    <w:rsid w:val="00BB4FEF"/>
    <w:rsid w:val="00BB5075"/>
    <w:rsid w:val="00BB530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209"/>
    <w:rsid w:val="00BC642E"/>
    <w:rsid w:val="00BC66C2"/>
    <w:rsid w:val="00BC6742"/>
    <w:rsid w:val="00BC71C5"/>
    <w:rsid w:val="00BC7307"/>
    <w:rsid w:val="00BC7659"/>
    <w:rsid w:val="00BC7771"/>
    <w:rsid w:val="00BC791C"/>
    <w:rsid w:val="00BC7A42"/>
    <w:rsid w:val="00BC7DB6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3B3"/>
    <w:rsid w:val="00BE26B4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5D27"/>
    <w:rsid w:val="00BE620C"/>
    <w:rsid w:val="00BE637C"/>
    <w:rsid w:val="00BE65B3"/>
    <w:rsid w:val="00BE68B9"/>
    <w:rsid w:val="00BE7265"/>
    <w:rsid w:val="00BE757D"/>
    <w:rsid w:val="00BE7662"/>
    <w:rsid w:val="00BE7B27"/>
    <w:rsid w:val="00BE7D11"/>
    <w:rsid w:val="00BF02E6"/>
    <w:rsid w:val="00BF0403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154"/>
    <w:rsid w:val="00BF647E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2192"/>
    <w:rsid w:val="00C02571"/>
    <w:rsid w:val="00C0279C"/>
    <w:rsid w:val="00C02C95"/>
    <w:rsid w:val="00C02CDE"/>
    <w:rsid w:val="00C03096"/>
    <w:rsid w:val="00C03844"/>
    <w:rsid w:val="00C03B7B"/>
    <w:rsid w:val="00C03C30"/>
    <w:rsid w:val="00C04339"/>
    <w:rsid w:val="00C04C68"/>
    <w:rsid w:val="00C04C6C"/>
    <w:rsid w:val="00C04DE2"/>
    <w:rsid w:val="00C0515B"/>
    <w:rsid w:val="00C05395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2AA"/>
    <w:rsid w:val="00C12E46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2E5"/>
    <w:rsid w:val="00C14346"/>
    <w:rsid w:val="00C145EF"/>
    <w:rsid w:val="00C14691"/>
    <w:rsid w:val="00C14A07"/>
    <w:rsid w:val="00C14EF8"/>
    <w:rsid w:val="00C150EC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5B9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C28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4DE"/>
    <w:rsid w:val="00C576E3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51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4F59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F34"/>
    <w:rsid w:val="00C70366"/>
    <w:rsid w:val="00C7040D"/>
    <w:rsid w:val="00C70555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75E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6DA3"/>
    <w:rsid w:val="00C870BA"/>
    <w:rsid w:val="00C873D5"/>
    <w:rsid w:val="00C8781D"/>
    <w:rsid w:val="00C878E9"/>
    <w:rsid w:val="00C87A95"/>
    <w:rsid w:val="00C87AF9"/>
    <w:rsid w:val="00C87D11"/>
    <w:rsid w:val="00C87DD4"/>
    <w:rsid w:val="00C87FBF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40"/>
    <w:rsid w:val="00CA0AA8"/>
    <w:rsid w:val="00CA0FCC"/>
    <w:rsid w:val="00CA114D"/>
    <w:rsid w:val="00CA1225"/>
    <w:rsid w:val="00CA16E1"/>
    <w:rsid w:val="00CA18D2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1A0"/>
    <w:rsid w:val="00CA5392"/>
    <w:rsid w:val="00CA5623"/>
    <w:rsid w:val="00CA57E3"/>
    <w:rsid w:val="00CA5DA3"/>
    <w:rsid w:val="00CA60BE"/>
    <w:rsid w:val="00CA6156"/>
    <w:rsid w:val="00CA6164"/>
    <w:rsid w:val="00CA617B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CCC"/>
    <w:rsid w:val="00CC3D5F"/>
    <w:rsid w:val="00CC3D8D"/>
    <w:rsid w:val="00CC3E8C"/>
    <w:rsid w:val="00CC400F"/>
    <w:rsid w:val="00CC40D2"/>
    <w:rsid w:val="00CC4365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14CB"/>
    <w:rsid w:val="00CD179D"/>
    <w:rsid w:val="00CD18E9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6F2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F02"/>
    <w:rsid w:val="00CF4F88"/>
    <w:rsid w:val="00CF5A64"/>
    <w:rsid w:val="00CF5EE9"/>
    <w:rsid w:val="00CF61A3"/>
    <w:rsid w:val="00CF62A9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166C"/>
    <w:rsid w:val="00D2171B"/>
    <w:rsid w:val="00D217CE"/>
    <w:rsid w:val="00D21A77"/>
    <w:rsid w:val="00D21D8E"/>
    <w:rsid w:val="00D21DDB"/>
    <w:rsid w:val="00D21E06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D04"/>
    <w:rsid w:val="00D24E65"/>
    <w:rsid w:val="00D256CC"/>
    <w:rsid w:val="00D25866"/>
    <w:rsid w:val="00D258DF"/>
    <w:rsid w:val="00D25A61"/>
    <w:rsid w:val="00D25BE0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611"/>
    <w:rsid w:val="00D34876"/>
    <w:rsid w:val="00D34965"/>
    <w:rsid w:val="00D35226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CF9"/>
    <w:rsid w:val="00D36D5A"/>
    <w:rsid w:val="00D36D9E"/>
    <w:rsid w:val="00D372DC"/>
    <w:rsid w:val="00D37A26"/>
    <w:rsid w:val="00D37C2D"/>
    <w:rsid w:val="00D37F6A"/>
    <w:rsid w:val="00D40109"/>
    <w:rsid w:val="00D403C6"/>
    <w:rsid w:val="00D40429"/>
    <w:rsid w:val="00D40458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03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622"/>
    <w:rsid w:val="00D769F0"/>
    <w:rsid w:val="00D76C5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54A"/>
    <w:rsid w:val="00D8666C"/>
    <w:rsid w:val="00D86A50"/>
    <w:rsid w:val="00D86ACF"/>
    <w:rsid w:val="00D86B37"/>
    <w:rsid w:val="00D86D41"/>
    <w:rsid w:val="00D86EF6"/>
    <w:rsid w:val="00D87154"/>
    <w:rsid w:val="00D873AD"/>
    <w:rsid w:val="00D873BF"/>
    <w:rsid w:val="00D87635"/>
    <w:rsid w:val="00D8778A"/>
    <w:rsid w:val="00D90196"/>
    <w:rsid w:val="00D91009"/>
    <w:rsid w:val="00D911C2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02"/>
    <w:rsid w:val="00DA2046"/>
    <w:rsid w:val="00DA2185"/>
    <w:rsid w:val="00DA23D2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C16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564"/>
    <w:rsid w:val="00DB07F4"/>
    <w:rsid w:val="00DB0D5D"/>
    <w:rsid w:val="00DB0E59"/>
    <w:rsid w:val="00DB118D"/>
    <w:rsid w:val="00DB13D7"/>
    <w:rsid w:val="00DB1539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771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295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6D0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A0E"/>
    <w:rsid w:val="00DD6C70"/>
    <w:rsid w:val="00DD6CF1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C95"/>
    <w:rsid w:val="00DE1D93"/>
    <w:rsid w:val="00DE1E4F"/>
    <w:rsid w:val="00DE21CF"/>
    <w:rsid w:val="00DE26C2"/>
    <w:rsid w:val="00DE279F"/>
    <w:rsid w:val="00DE2D4B"/>
    <w:rsid w:val="00DE31DC"/>
    <w:rsid w:val="00DE3258"/>
    <w:rsid w:val="00DE363E"/>
    <w:rsid w:val="00DE36D0"/>
    <w:rsid w:val="00DE3E7C"/>
    <w:rsid w:val="00DE41C3"/>
    <w:rsid w:val="00DE4507"/>
    <w:rsid w:val="00DE464E"/>
    <w:rsid w:val="00DE465E"/>
    <w:rsid w:val="00DE4664"/>
    <w:rsid w:val="00DE47FC"/>
    <w:rsid w:val="00DE4811"/>
    <w:rsid w:val="00DE4B0C"/>
    <w:rsid w:val="00DE4E2A"/>
    <w:rsid w:val="00DE5036"/>
    <w:rsid w:val="00DE5713"/>
    <w:rsid w:val="00DE5FDA"/>
    <w:rsid w:val="00DE61AA"/>
    <w:rsid w:val="00DE682A"/>
    <w:rsid w:val="00DE6F4F"/>
    <w:rsid w:val="00DE752E"/>
    <w:rsid w:val="00DE7793"/>
    <w:rsid w:val="00DE7D03"/>
    <w:rsid w:val="00DE7F45"/>
    <w:rsid w:val="00DF0257"/>
    <w:rsid w:val="00DF02EC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0EDF"/>
    <w:rsid w:val="00E011CA"/>
    <w:rsid w:val="00E01395"/>
    <w:rsid w:val="00E0146B"/>
    <w:rsid w:val="00E01700"/>
    <w:rsid w:val="00E0175E"/>
    <w:rsid w:val="00E019EA"/>
    <w:rsid w:val="00E01A5C"/>
    <w:rsid w:val="00E01F60"/>
    <w:rsid w:val="00E02068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A74"/>
    <w:rsid w:val="00E10FAA"/>
    <w:rsid w:val="00E11203"/>
    <w:rsid w:val="00E11EB8"/>
    <w:rsid w:val="00E1216B"/>
    <w:rsid w:val="00E1273A"/>
    <w:rsid w:val="00E127F2"/>
    <w:rsid w:val="00E12933"/>
    <w:rsid w:val="00E12A5A"/>
    <w:rsid w:val="00E12AF0"/>
    <w:rsid w:val="00E132C4"/>
    <w:rsid w:val="00E13326"/>
    <w:rsid w:val="00E136AE"/>
    <w:rsid w:val="00E139D0"/>
    <w:rsid w:val="00E13A9C"/>
    <w:rsid w:val="00E1437C"/>
    <w:rsid w:val="00E143C6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4FB"/>
    <w:rsid w:val="00E21603"/>
    <w:rsid w:val="00E216A5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882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487"/>
    <w:rsid w:val="00E31506"/>
    <w:rsid w:val="00E3167F"/>
    <w:rsid w:val="00E31BE7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7A3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0B"/>
    <w:rsid w:val="00E447D5"/>
    <w:rsid w:val="00E45041"/>
    <w:rsid w:val="00E450D8"/>
    <w:rsid w:val="00E452D0"/>
    <w:rsid w:val="00E45994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835"/>
    <w:rsid w:val="00E54D33"/>
    <w:rsid w:val="00E55972"/>
    <w:rsid w:val="00E55E1C"/>
    <w:rsid w:val="00E55EB1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8B7"/>
    <w:rsid w:val="00E63A8C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D31"/>
    <w:rsid w:val="00E65E6B"/>
    <w:rsid w:val="00E6640D"/>
    <w:rsid w:val="00E66550"/>
    <w:rsid w:val="00E666A1"/>
    <w:rsid w:val="00E6682F"/>
    <w:rsid w:val="00E66A62"/>
    <w:rsid w:val="00E6702E"/>
    <w:rsid w:val="00E672F7"/>
    <w:rsid w:val="00E6756F"/>
    <w:rsid w:val="00E67631"/>
    <w:rsid w:val="00E67A42"/>
    <w:rsid w:val="00E67FAC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88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4FC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846"/>
    <w:rsid w:val="00E92A0F"/>
    <w:rsid w:val="00E92A67"/>
    <w:rsid w:val="00E92EC7"/>
    <w:rsid w:val="00E92F0A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82B"/>
    <w:rsid w:val="00EA5C13"/>
    <w:rsid w:val="00EA630B"/>
    <w:rsid w:val="00EA6350"/>
    <w:rsid w:val="00EA6E29"/>
    <w:rsid w:val="00EA6E99"/>
    <w:rsid w:val="00EA7304"/>
    <w:rsid w:val="00EA76A0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0C18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4907"/>
    <w:rsid w:val="00EB4DF3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BBF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6C2"/>
    <w:rsid w:val="00ED5848"/>
    <w:rsid w:val="00ED58F2"/>
    <w:rsid w:val="00ED5A73"/>
    <w:rsid w:val="00ED6100"/>
    <w:rsid w:val="00ED6567"/>
    <w:rsid w:val="00ED6CA0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1B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93B"/>
    <w:rsid w:val="00EF495A"/>
    <w:rsid w:val="00EF4A7B"/>
    <w:rsid w:val="00EF4B3A"/>
    <w:rsid w:val="00EF4F32"/>
    <w:rsid w:val="00EF52E4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62E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DDF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085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625"/>
    <w:rsid w:val="00F1165E"/>
    <w:rsid w:val="00F11CF5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4F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A1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1737"/>
    <w:rsid w:val="00F41D1F"/>
    <w:rsid w:val="00F42910"/>
    <w:rsid w:val="00F42C2B"/>
    <w:rsid w:val="00F43022"/>
    <w:rsid w:val="00F4353A"/>
    <w:rsid w:val="00F4364B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50020"/>
    <w:rsid w:val="00F503B3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2037"/>
    <w:rsid w:val="00F52177"/>
    <w:rsid w:val="00F522B3"/>
    <w:rsid w:val="00F5234E"/>
    <w:rsid w:val="00F52603"/>
    <w:rsid w:val="00F52672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EE5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AA3"/>
    <w:rsid w:val="00F75C0B"/>
    <w:rsid w:val="00F75D0E"/>
    <w:rsid w:val="00F7618D"/>
    <w:rsid w:val="00F761C9"/>
    <w:rsid w:val="00F76305"/>
    <w:rsid w:val="00F763DF"/>
    <w:rsid w:val="00F767B7"/>
    <w:rsid w:val="00F7692E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38A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2F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14D"/>
    <w:rsid w:val="00F94289"/>
    <w:rsid w:val="00F942B6"/>
    <w:rsid w:val="00F9435A"/>
    <w:rsid w:val="00F945E2"/>
    <w:rsid w:val="00F94737"/>
    <w:rsid w:val="00F9495D"/>
    <w:rsid w:val="00F94CD9"/>
    <w:rsid w:val="00F94CF5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C8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4C7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7C"/>
    <w:rsid w:val="00FB7284"/>
    <w:rsid w:val="00FB72CB"/>
    <w:rsid w:val="00FB7320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B41"/>
    <w:rsid w:val="00FC6D8C"/>
    <w:rsid w:val="00FC7505"/>
    <w:rsid w:val="00FC782E"/>
    <w:rsid w:val="00FC791E"/>
    <w:rsid w:val="00FC7F93"/>
    <w:rsid w:val="00FD04AA"/>
    <w:rsid w:val="00FD0857"/>
    <w:rsid w:val="00FD10D2"/>
    <w:rsid w:val="00FD16F9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2AE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57"/>
    <w:rsid w:val="00FE1041"/>
    <w:rsid w:val="00FE14D7"/>
    <w:rsid w:val="00FE15F5"/>
    <w:rsid w:val="00FE16E7"/>
    <w:rsid w:val="00FE1728"/>
    <w:rsid w:val="00FE1757"/>
    <w:rsid w:val="00FE1FD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B5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7B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7B5F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9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qFormat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  <w:rPr>
      <w:rFonts w:eastAsiaTheme="minorEastAsia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  <w:sz w:val="24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paragraph" w:customStyle="1" w:styleId="textintend2">
    <w:name w:val="text intend 2"/>
    <w:basedOn w:val="text"/>
    <w:rsid w:val="0055709F"/>
    <w:pPr>
      <w:numPr>
        <w:numId w:val="41"/>
      </w:numPr>
      <w:tabs>
        <w:tab w:val="clear" w:pos="1418"/>
      </w:tabs>
      <w:spacing w:after="120"/>
      <w:ind w:left="720" w:hanging="36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031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755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5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1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5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02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904">
          <w:marLeft w:val="547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2022-08-12T06:59:00Z</dcterms:created>
  <dcterms:modified xsi:type="dcterms:W3CDTF">2022-09-30T18:57:00Z</dcterms:modified>
</cp:coreProperties>
</file>